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Open Sans" w:cs="Open Sans" w:eastAsia="Open Sans" w:hAnsi="Open Sans"/>
          <w:b w:val="1"/>
          <w:sz w:val="18"/>
          <w:szCs w:val="18"/>
        </w:rPr>
      </w:pPr>
      <w:r w:rsidDel="00000000" w:rsidR="00000000" w:rsidRPr="00000000">
        <w:rPr>
          <w:rFonts w:ascii="Open Sans" w:cs="Open Sans" w:eastAsia="Open Sans" w:hAnsi="Open Sans"/>
        </w:rPr>
        <w:drawing>
          <wp:inline distB="114300" distT="114300" distL="114300" distR="114300">
            <wp:extent cx="4203072" cy="1319213"/>
            <wp:effectExtent b="0" l="0" r="0" t="0"/>
            <wp:docPr id="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4203072" cy="131921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hd w:fill="ffffff" w:val="clear"/>
        <w:jc w:val="both"/>
        <w:rPr>
          <w:rFonts w:ascii="Open Sans" w:cs="Open Sans" w:eastAsia="Open Sans" w:hAnsi="Open Sans"/>
          <w:b w:val="1"/>
          <w:sz w:val="18"/>
          <w:szCs w:val="18"/>
        </w:rPr>
      </w:pPr>
      <w:r w:rsidDel="00000000" w:rsidR="00000000" w:rsidRPr="00000000">
        <w:rPr>
          <w:rtl w:val="0"/>
        </w:rPr>
      </w:r>
    </w:p>
    <w:p w:rsidR="00000000" w:rsidDel="00000000" w:rsidP="00000000" w:rsidRDefault="00000000" w:rsidRPr="00000000" w14:paraId="00000003">
      <w:pPr>
        <w:shd w:fill="ffffff" w:val="clear"/>
        <w:jc w:val="center"/>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Kross Studio y Warner Bros. Consumer Products lanzan un nuevo y extraordinario artículo, el set de coleccionista </w:t>
      </w:r>
    </w:p>
    <w:p w:rsidR="00000000" w:rsidDel="00000000" w:rsidP="00000000" w:rsidRDefault="00000000" w:rsidRPr="00000000" w14:paraId="00000004">
      <w:pPr>
        <w:shd w:fill="ffffff" w:val="clear"/>
        <w:jc w:val="center"/>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“Space Jam: Nuevas leyendas”.</w:t>
      </w:r>
    </w:p>
    <w:p w:rsidR="00000000" w:rsidDel="00000000" w:rsidP="00000000" w:rsidRDefault="00000000" w:rsidRPr="00000000" w14:paraId="00000005">
      <w:pPr>
        <w:shd w:fill="ffffff" w:val="clear"/>
        <w:jc w:val="center"/>
        <w:rPr>
          <w:sz w:val="17"/>
          <w:szCs w:val="17"/>
        </w:rPr>
      </w:pPr>
      <w:r w:rsidDel="00000000" w:rsidR="00000000" w:rsidRPr="00000000">
        <w:rPr>
          <w:rtl w:val="0"/>
        </w:rPr>
      </w:r>
    </w:p>
    <w:p w:rsidR="00000000" w:rsidDel="00000000" w:rsidP="00000000" w:rsidRDefault="00000000" w:rsidRPr="00000000" w14:paraId="00000006">
      <w:pPr>
        <w:shd w:fill="ffffff" w:val="clear"/>
        <w:jc w:val="center"/>
        <w:rPr>
          <w:rFonts w:ascii="Open Sans" w:cs="Open Sans" w:eastAsia="Open Sans" w:hAnsi="Open Sans"/>
          <w:i w:val="1"/>
        </w:rPr>
      </w:pPr>
      <w:r w:rsidDel="00000000" w:rsidR="00000000" w:rsidRPr="00000000">
        <w:rPr>
          <w:rFonts w:ascii="Open Sans" w:cs="Open Sans" w:eastAsia="Open Sans" w:hAnsi="Open Sans"/>
          <w:i w:val="1"/>
          <w:rtl w:val="0"/>
        </w:rPr>
        <w:t xml:space="preserve">Un set de coleccionista de 10 piezas de Kross Studio inspirado en “Space Jam: Nuevas leyendas” compuesto por un reloj Tourbillon y una escultura de baloncesto interactiva en la que el rendimiento, la técnica y los Looney Tunes se funden con el estilo.</w:t>
      </w:r>
    </w:p>
    <w:p w:rsidR="00000000" w:rsidDel="00000000" w:rsidP="00000000" w:rsidRDefault="00000000" w:rsidRPr="00000000" w14:paraId="00000007">
      <w:pPr>
        <w:shd w:fill="ffffff" w:val="clear"/>
        <w:jc w:val="both"/>
        <w:rPr/>
      </w:pPr>
      <w:r w:rsidDel="00000000" w:rsidR="00000000" w:rsidRPr="00000000">
        <w:rPr>
          <w:rtl w:val="0"/>
        </w:rPr>
      </w:r>
    </w:p>
    <w:p w:rsidR="00000000" w:rsidDel="00000000" w:rsidP="00000000" w:rsidRDefault="00000000" w:rsidRPr="00000000" w14:paraId="00000008">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La última colaboración entre Warner Bros. Consumer Products y Kross Studio celebra la llegada de la película de animación y acción en vivo “Space Jam: Nuevas leyendas”, que se estrenará en cines el 16 de julio de 2021, y en HBO Max durante 31 días a partir del estreno en cines en Estados Unidos. Se trata de una nueva oportunidad para el estudio de diseño suizo de inspirarse en un entrañable recuerdo de la infancia, como ocurrió con el 1989 Batmobile.</w:t>
      </w:r>
    </w:p>
    <w:p w:rsidR="00000000" w:rsidDel="00000000" w:rsidP="00000000" w:rsidRDefault="00000000" w:rsidRPr="00000000" w14:paraId="00000009">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En esta ocasión, Kross Studio ha diseñado un sofisticado reloj de alta gama y un objeto de arte funcional que fusiona cuatro mundos fascinantes: el baloncesto, la horología, el arte y los Looney Tunes.</w:t>
      </w:r>
    </w:p>
    <w:p w:rsidR="00000000" w:rsidDel="00000000" w:rsidP="00000000" w:rsidRDefault="00000000" w:rsidRPr="00000000" w14:paraId="0000000A">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En consonancia con el espíritu de Tune Squad, Kross Studio pretende superar los límites y jugar a su manera. El estudio de diseño muestra su excelencia y su destreza técnica en cada elemento de estos sets de coleccionista imbuidos de la alegre nostalgia de la iconografía de los Looney Tunes.</w:t>
      </w:r>
    </w:p>
    <w:p w:rsidR="00000000" w:rsidDel="00000000" w:rsidP="00000000" w:rsidRDefault="00000000" w:rsidRPr="00000000" w14:paraId="0000000B">
      <w:pPr>
        <w:shd w:fill="ffffff" w:val="clear"/>
        <w:jc w:val="both"/>
        <w:rPr/>
      </w:pPr>
      <w:r w:rsidDel="00000000" w:rsidR="00000000" w:rsidRPr="00000000">
        <w:rPr>
          <w:rtl w:val="0"/>
        </w:rPr>
        <w:t xml:space="preserve"> </w:t>
      </w:r>
    </w:p>
    <w:p w:rsidR="00000000" w:rsidDel="00000000" w:rsidP="00000000" w:rsidRDefault="00000000" w:rsidRPr="00000000" w14:paraId="0000000C">
      <w:pPr>
        <w:shd w:fill="ffffff" w:val="clear"/>
        <w:jc w:val="both"/>
        <w:rPr>
          <w:rFonts w:ascii="Open Sans" w:cs="Open Sans" w:eastAsia="Open Sans" w:hAnsi="Open Sans"/>
          <w:b w:val="1"/>
        </w:rPr>
      </w:pPr>
      <w:r w:rsidDel="00000000" w:rsidR="00000000" w:rsidRPr="00000000">
        <w:rPr>
          <w:rFonts w:ascii="Open Sans" w:cs="Open Sans" w:eastAsia="Open Sans" w:hAnsi="Open Sans"/>
          <w:b w:val="1"/>
          <w:sz w:val="24"/>
          <w:szCs w:val="24"/>
          <w:rtl w:val="0"/>
        </w:rPr>
        <w:t xml:space="preserve">Conviértase en una leyenda</w:t>
      </w:r>
      <w:r w:rsidDel="00000000" w:rsidR="00000000" w:rsidRPr="00000000">
        <w:rPr>
          <w:rtl w:val="0"/>
        </w:rPr>
      </w:r>
    </w:p>
    <w:p w:rsidR="00000000" w:rsidDel="00000000" w:rsidP="00000000" w:rsidRDefault="00000000" w:rsidRPr="00000000" w14:paraId="0000000D">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El baloncesto es uno de los deportes profesionales más populares y veloces, y requiere excelencia y una técnica hábil por parte de los jugadores en cada centímetro de la cancha. El equipo de Kross ha creado un reloj de pulsera que representa la precisión y el estilo deportivo de este mundo, demostrando su maestría como empresa de diseño emergente y uno de los principales relojeros independientes de la actualidad.</w:t>
      </w:r>
    </w:p>
    <w:p w:rsidR="00000000" w:rsidDel="00000000" w:rsidP="00000000" w:rsidRDefault="00000000" w:rsidRPr="00000000" w14:paraId="0000000E">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El calibre KS 7'000 3 Hz, desarrollado y producido íntegramente por Kross Studio, hizo su entrada en la pista a principios de este año. Este calibre es ideal para el Space Jam Tourbillon, ya que refleja el estilo de diseño urbano de Kross Studio y sus refinadas habilidades técnicas.</w:t>
      </w:r>
    </w:p>
    <w:p w:rsidR="00000000" w:rsidDel="00000000" w:rsidP="00000000" w:rsidRDefault="00000000" w:rsidRPr="00000000" w14:paraId="0000000F">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El movimiento mecánico de cuerda manual, equipado con un barrilete extragrande que ofrece una reserva de marcha de 5 días, está situado en el centro del movimiento. Al no dejar espacio para el regulador, este se coloca en el centro, en una jaula de tourbillon sobre el barrilete.</w:t>
      </w:r>
    </w:p>
    <w:p w:rsidR="00000000" w:rsidDel="00000000" w:rsidP="00000000" w:rsidRDefault="00000000" w:rsidRPr="00000000" w14:paraId="00000010">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Kross Studio pisa fuerte al aprovechar la colaboración “Space Jam: Nuevas leyendas” para diseñar piezas de relojería que reflejen la trepidante vida del jugador dentro y fuera de la cancha. El diseño esqueleto permite apreciar los detalles de los componentes, como las ruedas en forma de balones de baloncesto, en mayor profundidad.</w:t>
      </w:r>
    </w:p>
    <w:p w:rsidR="00000000" w:rsidDel="00000000" w:rsidP="00000000" w:rsidRDefault="00000000" w:rsidRPr="00000000" w14:paraId="00000011">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La jaula central del tourbillon se eleva sobre la pieza, cubierta con una estructura calada en forma de balón de baloncesto que deja ver el regulador debajo. Las 281 piezas del reloj se han fabricado a mano para ofrecer el mejor acabado.</w:t>
      </w:r>
    </w:p>
    <w:p w:rsidR="00000000" w:rsidDel="00000000" w:rsidP="00000000" w:rsidRDefault="00000000" w:rsidRPr="00000000" w14:paraId="00000012">
      <w:pPr>
        <w:shd w:fill="ffffff" w:val="clear"/>
        <w:jc w:val="both"/>
        <w:rPr/>
      </w:pPr>
      <w:r w:rsidDel="00000000" w:rsidR="00000000" w:rsidRPr="00000000">
        <w:rPr>
          <w:rtl w:val="0"/>
        </w:rPr>
        <w:t xml:space="preserve"> </w:t>
      </w:r>
    </w:p>
    <w:p w:rsidR="00000000" w:rsidDel="00000000" w:rsidP="00000000" w:rsidRDefault="00000000" w:rsidRPr="00000000" w14:paraId="00000013">
      <w:pPr>
        <w:shd w:fill="ffffff" w:val="clear"/>
        <w:jc w:val="both"/>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¡Es hora de jugar!</w:t>
      </w:r>
    </w:p>
    <w:p w:rsidR="00000000" w:rsidDel="00000000" w:rsidP="00000000" w:rsidRDefault="00000000" w:rsidRPr="00000000" w14:paraId="00000014">
      <w:pPr>
        <w:shd w:fill="ffffff" w:val="clear"/>
        <w:jc w:val="both"/>
        <w:rPr>
          <w:rFonts w:ascii="Open Sans" w:cs="Open Sans" w:eastAsia="Open Sans" w:hAnsi="Open Sans"/>
        </w:rPr>
      </w:pPr>
      <w:sdt>
        <w:sdtPr>
          <w:tag w:val="goog_rdk_0"/>
        </w:sdtPr>
        <w:sdtContent>
          <w:r w:rsidDel="00000000" w:rsidR="00000000" w:rsidRPr="00000000">
            <w:rPr>
              <w:rFonts w:ascii="Arial Unicode MS" w:cs="Arial Unicode MS" w:eastAsia="Arial Unicode MS" w:hAnsi="Arial Unicode MS"/>
              <w:rtl w:val="0"/>
            </w:rPr>
            <w:t xml:space="preserve">Cada detalle del reloj invita a levantarse y prepararse para triunfar en cualquier momento, como la aguja de la hora con SuperLuminova™ blanca y azul, que se convierte en una línea de tiro libre, una zona señalada alrededor de la canasta en la cancha de baloncesto. Las horas y los minutos también se muestran de forma única. Las agujas se sitúan en una pantalla periférica que orbita 360 º grados alrededor del tourbillon.</w:t>
          </w:r>
        </w:sdtContent>
      </w:sdt>
    </w:p>
    <w:p w:rsidR="00000000" w:rsidDel="00000000" w:rsidP="00000000" w:rsidRDefault="00000000" w:rsidRPr="00000000" w14:paraId="00000015">
      <w:pPr>
        <w:shd w:fill="ffffff" w:val="clear"/>
        <w:jc w:val="both"/>
        <w:rPr/>
      </w:pPr>
      <w:r w:rsidDel="00000000" w:rsidR="00000000" w:rsidRPr="00000000">
        <w:rPr>
          <w:rtl w:val="0"/>
        </w:rPr>
      </w:r>
    </w:p>
    <w:p w:rsidR="00000000" w:rsidDel="00000000" w:rsidP="00000000" w:rsidRDefault="00000000" w:rsidRPr="00000000" w14:paraId="00000016">
      <w:pPr>
        <w:shd w:fill="ffffff" w:val="clear"/>
        <w:jc w:val="both"/>
        <w:rPr>
          <w:rFonts w:ascii="Open Sans" w:cs="Open Sans" w:eastAsia="Open Sans" w:hAnsi="Open Sans"/>
          <w:b w:val="1"/>
        </w:rPr>
      </w:pPr>
      <w:r w:rsidDel="00000000" w:rsidR="00000000" w:rsidRPr="00000000">
        <w:rPr>
          <w:rFonts w:ascii="Open Sans" w:cs="Open Sans" w:eastAsia="Open Sans" w:hAnsi="Open Sans"/>
          <w:b w:val="1"/>
          <w:sz w:val="24"/>
          <w:szCs w:val="24"/>
          <w:rtl w:val="0"/>
        </w:rPr>
        <w:t xml:space="preserve">Los Tunes unidos</w:t>
      </w:r>
      <w:r w:rsidDel="00000000" w:rsidR="00000000" w:rsidRPr="00000000">
        <w:rPr>
          <w:rtl w:val="0"/>
        </w:rPr>
      </w:r>
    </w:p>
    <w:p w:rsidR="00000000" w:rsidDel="00000000" w:rsidP="00000000" w:rsidRDefault="00000000" w:rsidRPr="00000000" w14:paraId="00000017">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El Tunes Squad entra en escena a través del grabado de la rueda fija de las horas, y cada personaje del "Dream Team" aparece listo para la acción, desde Bugs Bunny, Lola Bunny, el Pato Lucas y Piolín hasta Silvestre, Marvin el Marciano, Sam Bigotes, Abuelita, Taz, Speedy Gonzales, Elmer Gruñón, Coyote y Correcaminos.</w:t>
      </w:r>
    </w:p>
    <w:p w:rsidR="00000000" w:rsidDel="00000000" w:rsidP="00000000" w:rsidRDefault="00000000" w:rsidRPr="00000000" w14:paraId="00000018">
      <w:pPr>
        <w:shd w:fill="ffffff" w:val="clear"/>
        <w:jc w:val="both"/>
        <w:rPr/>
      </w:pPr>
      <w:r w:rsidDel="00000000" w:rsidR="00000000" w:rsidRPr="00000000">
        <w:rPr>
          <w:rtl w:val="0"/>
        </w:rPr>
      </w:r>
    </w:p>
    <w:p w:rsidR="00000000" w:rsidDel="00000000" w:rsidP="00000000" w:rsidRDefault="00000000" w:rsidRPr="00000000" w14:paraId="00000019">
      <w:pPr>
        <w:shd w:fill="ffffff" w:val="clear"/>
        <w:jc w:val="both"/>
        <w:rPr>
          <w:rFonts w:ascii="Open Sans" w:cs="Open Sans" w:eastAsia="Open Sans" w:hAnsi="Open Sans"/>
          <w:b w:val="1"/>
        </w:rPr>
      </w:pPr>
      <w:r w:rsidDel="00000000" w:rsidR="00000000" w:rsidRPr="00000000">
        <w:rPr>
          <w:rFonts w:ascii="Open Sans" w:cs="Open Sans" w:eastAsia="Open Sans" w:hAnsi="Open Sans"/>
          <w:b w:val="1"/>
          <w:sz w:val="24"/>
          <w:szCs w:val="24"/>
          <w:rtl w:val="0"/>
        </w:rPr>
        <w:t xml:space="preserve">Una creación extraordinaria</w:t>
      </w:r>
      <w:r w:rsidDel="00000000" w:rsidR="00000000" w:rsidRPr="00000000">
        <w:rPr>
          <w:rtl w:val="0"/>
        </w:rPr>
      </w:r>
    </w:p>
    <w:p w:rsidR="00000000" w:rsidDel="00000000" w:rsidP="00000000" w:rsidRDefault="00000000" w:rsidRPr="00000000" w14:paraId="0000001A">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La pieza presenta una caja de titanio de 45 mm con un guardapolvo de cristal de zafiro, prueba del singular saber hacer relojero de Kross Studio. El reverso de la caja resalta sutilmente el emblema de la cruz homónima del estudio a través de la placa y el puente del barrilete, recubiertos de PVD azul para generar un efecto atractivo.</w:t>
      </w:r>
    </w:p>
    <w:p w:rsidR="00000000" w:rsidDel="00000000" w:rsidP="00000000" w:rsidRDefault="00000000" w:rsidRPr="00000000" w14:paraId="0000001B">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La carga del reloj y el ajuste de la hora se realizan a través de la corona de anilla en D del fondo de caja y el pulsador de ajuste situado a las 3 horas en el borde de la pieza. Este sistema no solo garantiza la simetría del diseño y una experiencia más cómoda que la que ofrece un reloj con corona convencional, sino que además agiliza la carga.</w:t>
      </w:r>
    </w:p>
    <w:p w:rsidR="00000000" w:rsidDel="00000000" w:rsidP="00000000" w:rsidRDefault="00000000" w:rsidRPr="00000000" w14:paraId="0000001C">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El reloj se entrega con dos correas: una de piel de becerro azul intenso y otra de caucho desgastado con láser que reproduce la textura y el color naranja emblemáticos del baloncesto. Un sistema de correa intercambiable permite cambiar de correa de forma rápida y sencilla con un solo clic de los pulsadores de cambio de la parte inferior del Space Jam Tourbillon.</w:t>
      </w:r>
    </w:p>
    <w:p w:rsidR="00000000" w:rsidDel="00000000" w:rsidP="00000000" w:rsidRDefault="00000000" w:rsidRPr="00000000" w14:paraId="0000001D">
      <w:pPr>
        <w:shd w:fill="ffffff" w:val="clear"/>
        <w:jc w:val="both"/>
        <w:rPr/>
      </w:pPr>
      <w:r w:rsidDel="00000000" w:rsidR="00000000" w:rsidRPr="00000000">
        <w:rPr>
          <w:rtl w:val="0"/>
        </w:rPr>
        <w:t xml:space="preserve"> </w:t>
      </w:r>
    </w:p>
    <w:p w:rsidR="00000000" w:rsidDel="00000000" w:rsidP="00000000" w:rsidRDefault="00000000" w:rsidRPr="00000000" w14:paraId="0000001E">
      <w:pPr>
        <w:shd w:fill="ffffff" w:val="clear"/>
        <w:jc w:val="both"/>
        <w:rPr>
          <w:rFonts w:ascii="Open Sans" w:cs="Open Sans" w:eastAsia="Open Sans" w:hAnsi="Open Sans"/>
          <w:b w:val="1"/>
        </w:rPr>
      </w:pPr>
      <w:r w:rsidDel="00000000" w:rsidR="00000000" w:rsidRPr="00000000">
        <w:rPr>
          <w:rFonts w:ascii="Open Sans" w:cs="Open Sans" w:eastAsia="Open Sans" w:hAnsi="Open Sans"/>
          <w:b w:val="1"/>
          <w:sz w:val="24"/>
          <w:szCs w:val="24"/>
          <w:rtl w:val="0"/>
        </w:rPr>
        <w:t xml:space="preserve">Este no es un caso</w:t>
      </w:r>
      <w:r w:rsidDel="00000000" w:rsidR="00000000" w:rsidRPr="00000000">
        <w:rPr>
          <w:rtl w:val="0"/>
        </w:rPr>
      </w:r>
    </w:p>
    <w:p w:rsidR="00000000" w:rsidDel="00000000" w:rsidP="00000000" w:rsidRDefault="00000000" w:rsidRPr="00000000" w14:paraId="0000001F">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El reloj viene acompañado de una pieza de arte funcional, un objeto de diseño independiente. Este objeto también celebra la cultura del baloncesto y de “Space Jam: Nuevas leyendas”. La escultura, diseñada y realizada por Kross Studio, presenta la forma de un balón de baloncesto en madera y aluminio. El pilar central cuenta con once capas de madera que representan balones de baloncesto planos para generar un efecto hipnótico. El reloj se puede guardar en el corazón de la escultura, que se revela al levantar el balón.</w:t>
      </w:r>
    </w:p>
    <w:p w:rsidR="00000000" w:rsidDel="00000000" w:rsidP="00000000" w:rsidRDefault="00000000" w:rsidRPr="00000000" w14:paraId="00000020">
      <w:pPr>
        <w:shd w:fill="ffffff" w:val="clea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A modo de avance del Space Jam Tourbillon, el Tune Squad descansa en la base de la escultura esperando que comience el juego. Esta obra de arte ha sido diseñada para poderla disfrutar, y se puede retirar de su pedestal con cuidado. Con esta pieza increíblemente detallada, el coleccionista puede imaginar su propio destino como jugador en el mundo de </w:t>
      </w:r>
      <w:r w:rsidDel="00000000" w:rsidR="00000000" w:rsidRPr="00000000">
        <w:rPr>
          <w:rFonts w:ascii="Open Sans" w:cs="Open Sans" w:eastAsia="Open Sans" w:hAnsi="Open Sans"/>
          <w:i w:val="1"/>
          <w:rtl w:val="0"/>
        </w:rPr>
        <w:t xml:space="preserve">Space Jam</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22">
      <w:pPr>
        <w:shd w:fill="ffffff" w:val="clea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Kross Studio desvela el poder de las colaboraciones artísticas de nuevo con un set de coleccionista único. La creación se presenta en una edición limitada de 10 piezas numeradas. Cada pieza se encuentra en una caja de madera a medida, con su manual del usuario, su certificado de autenticidad y guantes para la manipulación.</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026">
      <w:pPr>
        <w:spacing w:line="240" w:lineRule="auto"/>
        <w:jc w:val="both"/>
        <w:rPr>
          <w:rFonts w:ascii="Open Sans" w:cs="Open Sans" w:eastAsia="Open Sans" w:hAnsi="Open Sans"/>
        </w:rPr>
      </w:pPr>
      <w:r w:rsidDel="00000000" w:rsidR="00000000" w:rsidRPr="00000000">
        <w:rPr>
          <w:rFonts w:ascii="Open Sans" w:cs="Open Sans" w:eastAsia="Open Sans" w:hAnsi="Open Sans"/>
          <w:b w:val="1"/>
          <w:sz w:val="24"/>
          <w:szCs w:val="24"/>
          <w:rtl w:val="0"/>
        </w:rPr>
        <w:t xml:space="preserve">Acerca de Kross Studio</w:t>
      </w:r>
      <w:r w:rsidDel="00000000" w:rsidR="00000000" w:rsidRPr="00000000">
        <w:rPr>
          <w:rtl w:val="0"/>
        </w:rPr>
      </w:r>
    </w:p>
    <w:p w:rsidR="00000000" w:rsidDel="00000000" w:rsidP="00000000" w:rsidRDefault="00000000" w:rsidRPr="00000000" w14:paraId="00000027">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Kross Studio es un fabricante y estudio de diseño con sede en Suiza, fundado en 2020 por un grupo de cinco emprendedores, cada uno con décadas de experiencia en las más altas esferas del lujo y el diseño. La marca suiza está especializada en la creación de objetos artísticos innovadores y exclusivos para los mejores coleccionistas. Reconocido por sus innovadoras colaboraciones, cada pieza producida por Kross Studio trasciende los materiales para ofrecer experiencias visuales inmersivas que también se trasladan al mundo más amplio de las artes y la cultura contemporáneas. Kross Studio diseña cada pieza internamente con el más alto nivel de conocimiento y artesanía. Para más información, visite </w:t>
      </w:r>
      <w:hyperlink r:id="rId8">
        <w:r w:rsidDel="00000000" w:rsidR="00000000" w:rsidRPr="00000000">
          <w:rPr>
            <w:rFonts w:ascii="Open Sans" w:cs="Open Sans" w:eastAsia="Open Sans" w:hAnsi="Open Sans"/>
            <w:color w:val="1155cc"/>
            <w:u w:val="single"/>
            <w:rtl w:val="0"/>
          </w:rPr>
          <w:t xml:space="preserve">www.kross-studio.com</w:t>
        </w:r>
      </w:hyperlink>
      <w:r w:rsidDel="00000000" w:rsidR="00000000" w:rsidRPr="00000000">
        <w:rPr>
          <w:rFonts w:ascii="Open Sans" w:cs="Open Sans" w:eastAsia="Open Sans" w:hAnsi="Open Sans"/>
          <w:rtl w:val="0"/>
        </w:rPr>
        <w:t xml:space="preserve">.</w:t>
      </w:r>
    </w:p>
    <w:p w:rsidR="00000000" w:rsidDel="00000000" w:rsidP="00000000" w:rsidRDefault="00000000" w:rsidRPr="00000000" w14:paraId="00000028">
      <w:pPr>
        <w:spacing w:before="240" w:lineRule="auto"/>
        <w:jc w:val="both"/>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Acerca de Warner Bros. Consumer Products (WBCP) </w:t>
      </w:r>
    </w:p>
    <w:p w:rsidR="00000000" w:rsidDel="00000000" w:rsidP="00000000" w:rsidRDefault="00000000" w:rsidRPr="00000000" w14:paraId="00000029">
      <w:pPr>
        <w:jc w:val="both"/>
        <w:rPr>
          <w:rFonts w:ascii="Open Sans" w:cs="Open Sans" w:eastAsia="Open Sans" w:hAnsi="Open Sans"/>
        </w:rPr>
      </w:pPr>
      <w:r w:rsidDel="00000000" w:rsidR="00000000" w:rsidRPr="00000000">
        <w:rPr>
          <w:rFonts w:ascii="Open Sans" w:cs="Open Sans" w:eastAsia="Open Sans" w:hAnsi="Open Sans"/>
          <w:rtl w:val="0"/>
        </w:rPr>
        <w:t xml:space="preserve">WBCP es una división de Warner Bros. Global Brands and Experiences, cuyo prestigioso portafolio de marcas y franquicias de entretenimiento está presente en la vida cotidiana de los hogares de todo el mundo. WBCP se asocia con los mejores licenciatarios de todo el mundo para desarrollar líneas de juguetes premiadas, colecciones de moda, </w:t>
      </w:r>
      <w:r w:rsidDel="00000000" w:rsidR="00000000" w:rsidRPr="00000000">
        <w:rPr>
          <w:rFonts w:ascii="Open Sans" w:cs="Open Sans" w:eastAsia="Open Sans" w:hAnsi="Open Sans"/>
          <w:highlight w:val="white"/>
          <w:rtl w:val="0"/>
        </w:rPr>
        <w:t xml:space="preserve">decoración del hogar</w:t>
      </w:r>
      <w:r w:rsidDel="00000000" w:rsidR="00000000" w:rsidRPr="00000000">
        <w:rPr>
          <w:rFonts w:ascii="Open Sans" w:cs="Open Sans" w:eastAsia="Open Sans" w:hAnsi="Open Sans"/>
          <w:rtl w:val="0"/>
        </w:rPr>
        <w:t xml:space="preserve">, belleza y editoriales, inspiradas en franquicias y propiedades como DC, Wizarding World, Looney Tunes Hanna-Barbera, HBO, Cartoon Network and Adult Swim. El exitoso negocio de entretenimiento temático global de la división incluye experiencias innovadoras como The Wizarding World of Harry Potter y Warner Bros. World Abu Dhabi. A través de sus innovadores programas de licencia y comercialización, iniciativas de venta al por menor, asociaciones de promoción y experiencias temáticas, WBCP es uno de los principales actores del mundo en materia de licencias y venta al por menor.</w:t>
      </w:r>
    </w:p>
    <w:p w:rsidR="00000000" w:rsidDel="00000000" w:rsidP="00000000" w:rsidRDefault="00000000" w:rsidRPr="00000000" w14:paraId="0000002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jc w:val="both"/>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Acerca de “Space Jam: Nuevas Leyendas”</w:t>
      </w:r>
    </w:p>
    <w:p w:rsidR="00000000" w:rsidDel="00000000" w:rsidP="00000000" w:rsidRDefault="00000000" w:rsidRPr="00000000" w14:paraId="0000002C">
      <w:pPr>
        <w:pBdr>
          <w:top w:space="0" w:sz="0" w:val="nil"/>
          <w:left w:space="0" w:sz="0" w:val="nil"/>
          <w:bottom w:space="0" w:sz="0" w:val="nil"/>
          <w:right w:space="0" w:sz="0" w:val="nil"/>
          <w:between w:space="0" w:sz="0" w:val="nil"/>
        </w:pBdr>
        <w:jc w:val="both"/>
        <w:rPr>
          <w:rFonts w:ascii="Open Sans" w:cs="Open Sans" w:eastAsia="Open Sans" w:hAnsi="Open Sans"/>
        </w:rPr>
      </w:pPr>
      <w:r w:rsidDel="00000000" w:rsidR="00000000" w:rsidRPr="00000000">
        <w:rPr>
          <w:rFonts w:ascii="Open Sans" w:cs="Open Sans" w:eastAsia="Open Sans" w:hAnsi="Open Sans"/>
          <w:rtl w:val="0"/>
        </w:rPr>
        <w:t xml:space="preserve">¡Bienvenidos al Jam! El campeón de la NBA e ícono mundial LeBron James se embarca en una aventura épica junto a Bugs Bunny, el intemporal personaje de Looney Tunes en "Space Jam: Nuevas leyendas", la película animada y de acción real dirigida por Malcolm D. Lee y un innovador equipo de cine que cuenta con Ryan Coogler y Maverick Carretero. Este viaje de transformación es una frenética combinación de dos mundos que nos cuenta hasta dónde pueden llegar algunos padres para conectar con sus hijos. LeBron y su hijo Dom quedan atrapados en el espacio digital de una fuerza todopoderosa y malvada llamada A.I. Para poder volver a casa, LeBron tendrá que contar con la ayuda de Bugs, Lola Bunny y toda la pandilla de los muy indisciplinados Looney Tunes. Juntos tendrán que derrotar a los campeones digitalizados de A.I. y deberán hacerlo en la cancha de baloncesto. Se trata de una lista espectacular de estrellas del baloncesto como nunca se ha visto. Son los Looney contra El Equipo de los Malotes enfrentados al desafío más importante de sus vidas que servirá para transformar el vínculo de LeBron con su hijo y arrojará luz sobre el poder de ser uno mismo. Los intrépidos Looney se saltan todos los convencionalismos, ponen en marcha sus singulares talentos y consiguen sorprender al "Rey" James jugando el partido a su manera. James es el protagonista junto al nominado al Oscar Don Cheadle (películas de "Los Vengadores", "Hotel Rwanda"), Khris Davis ("Judas and the Black Messiah", serie de televisión "Atlanta"), Sonequa Martin-Green (series de televisión "The Walking Dead", "Star Trek: Discovery”), el debutante Cedric Joe, Jeff Bergman (“Looney Tunes Cartoons”), Eric Bauza (“Looney Tunes Cartoons”) y Zendaya (próximamente “Dune”, “Malcolm &amp; Marie”) Lee ("Plan de chicas", "Escuela para fracasados") dirige a partir de un guión de Juel Taylor &amp; Tony Rettenmaier, Keenan Coogler &amp; Terence Nance, Jesse Gordon y Celeste Ballard, historia de Juel Taylor &amp; Tony Reteenmaier &amp; Keenan Coogler &amp; Terence Nance. Basada en “Space Jam”, escrita por Leo Benvenuti &amp; Steve Rudnick y Timothy Harris &amp; Herschel Weingrod. Los productores de la película son Ryan Coogler, LeBron James, Maverick Carter y Duncan Henderson, y Sev Ohanian, Zinzi Coogler, Allison Abbate, Jesse Ehrman, Jamal Henderson, Spencer Beighley, Justin Lin, Terence Nance y Ivan Reitman ejercen de productores ejecutivos.</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Warner Bros. Pictures presenta "Space Jam: Nuevas leyendas", una producción de Proximity/SpringHill Entertainment, dirigida por Malcolm D. Lee. La película será distribuida por Warner Bros. Pictures. Se estrenará sólo en cines en España el 23 de julio de 2021.</w:t>
      </w:r>
    </w:p>
    <w:p w:rsidR="00000000" w:rsidDel="00000000" w:rsidP="00000000" w:rsidRDefault="00000000" w:rsidRPr="00000000" w14:paraId="0000002E">
      <w:pPr>
        <w:shd w:fill="ffffff" w:val="clea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shd w:fill="ffffff" w:val="clear"/>
        <w:jc w:val="both"/>
        <w:rPr>
          <w:rFonts w:ascii="Open Sans" w:cs="Open Sans" w:eastAsia="Open Sans" w:hAnsi="Open Sans"/>
          <w:b w:val="1"/>
          <w:sz w:val="30"/>
          <w:szCs w:val="30"/>
        </w:rPr>
      </w:pPr>
      <w:r w:rsidDel="00000000" w:rsidR="00000000" w:rsidRPr="00000000">
        <w:rPr>
          <w:rtl w:val="0"/>
        </w:rPr>
      </w:r>
    </w:p>
    <w:p w:rsidR="00000000" w:rsidDel="00000000" w:rsidP="00000000" w:rsidRDefault="00000000" w:rsidRPr="00000000" w14:paraId="00000030">
      <w:pPr>
        <w:shd w:fill="ffffff" w:val="clear"/>
        <w:jc w:val="both"/>
        <w:rPr>
          <w:rFonts w:ascii="Open Sans" w:cs="Open Sans" w:eastAsia="Open Sans" w:hAnsi="Open Sans"/>
        </w:rPr>
      </w:pPr>
      <w:r w:rsidDel="00000000" w:rsidR="00000000" w:rsidRPr="00000000">
        <w:rPr>
          <w:rFonts w:ascii="Open Sans" w:cs="Open Sans" w:eastAsia="Open Sans" w:hAnsi="Open Sans"/>
          <w:b w:val="1"/>
          <w:sz w:val="30"/>
          <w:szCs w:val="30"/>
          <w:rtl w:val="0"/>
        </w:rPr>
        <w:t xml:space="preserve">Especificaciones Técnicas</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before="240"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2">
      <w:pPr>
        <w:widowControl w:val="0"/>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EL RELOJ </w:t>
      </w:r>
    </w:p>
    <w:p w:rsidR="00000000" w:rsidDel="00000000" w:rsidP="00000000" w:rsidRDefault="00000000" w:rsidRPr="00000000" w14:paraId="00000033">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Nombre del Modelo </w:t>
        <w:tab/>
      </w:r>
      <w:r w:rsidDel="00000000" w:rsidR="00000000" w:rsidRPr="00000000">
        <w:rPr>
          <w:rFonts w:ascii="Open Sans" w:cs="Open Sans" w:eastAsia="Open Sans" w:hAnsi="Open Sans"/>
          <w:rtl w:val="0"/>
        </w:rPr>
        <w:t xml:space="preserve">Space Jam Tourbillon</w:t>
      </w:r>
    </w:p>
    <w:p w:rsidR="00000000" w:rsidDel="00000000" w:rsidP="00000000" w:rsidRDefault="00000000" w:rsidRPr="00000000" w14:paraId="00000034">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035">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Referencia</w:t>
        <w:tab/>
        <w:tab/>
        <w:tab/>
      </w:r>
      <w:r w:rsidDel="00000000" w:rsidR="00000000" w:rsidRPr="00000000">
        <w:rPr>
          <w:rFonts w:ascii="Open Sans" w:cs="Open Sans" w:eastAsia="Open Sans" w:hAnsi="Open Sans"/>
          <w:rtl w:val="0"/>
        </w:rPr>
        <w:t xml:space="preserve">SJBBT21</w:t>
      </w:r>
    </w:p>
    <w:p w:rsidR="00000000" w:rsidDel="00000000" w:rsidP="00000000" w:rsidRDefault="00000000" w:rsidRPr="00000000" w14:paraId="00000036">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7">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Componentes </w:t>
        <w:tab/>
        <w:tab/>
      </w:r>
      <w:r w:rsidDel="00000000" w:rsidR="00000000" w:rsidRPr="00000000">
        <w:rPr>
          <w:rFonts w:ascii="Open Sans" w:cs="Open Sans" w:eastAsia="Open Sans" w:hAnsi="Open Sans"/>
          <w:rtl w:val="0"/>
        </w:rPr>
        <w:t xml:space="preserve">281</w:t>
      </w:r>
      <w:r w:rsidDel="00000000" w:rsidR="00000000" w:rsidRPr="00000000">
        <w:rPr>
          <w:rtl w:val="0"/>
        </w:rPr>
      </w:r>
    </w:p>
    <w:p w:rsidR="00000000" w:rsidDel="00000000" w:rsidP="00000000" w:rsidRDefault="00000000" w:rsidRPr="00000000" w14:paraId="00000038">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9">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Edición limitada </w:t>
        <w:tab/>
        <w:tab/>
      </w:r>
      <w:r w:rsidDel="00000000" w:rsidR="00000000" w:rsidRPr="00000000">
        <w:rPr>
          <w:rFonts w:ascii="Open Sans" w:cs="Open Sans" w:eastAsia="Open Sans" w:hAnsi="Open Sans"/>
          <w:rtl w:val="0"/>
        </w:rPr>
        <w:t xml:space="preserve">10 piezas numeradas</w:t>
      </w:r>
      <w:r w:rsidDel="00000000" w:rsidR="00000000" w:rsidRPr="00000000">
        <w:rPr>
          <w:rtl w:val="0"/>
        </w:rPr>
      </w:r>
    </w:p>
    <w:p w:rsidR="00000000" w:rsidDel="00000000" w:rsidP="00000000" w:rsidRDefault="00000000" w:rsidRPr="00000000" w14:paraId="0000003A">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B">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Garantía internacional</w:t>
        <w:tab/>
      </w:r>
      <w:r w:rsidDel="00000000" w:rsidR="00000000" w:rsidRPr="00000000">
        <w:rPr>
          <w:rFonts w:ascii="Open Sans" w:cs="Open Sans" w:eastAsia="Open Sans" w:hAnsi="Open Sans"/>
          <w:rtl w:val="0"/>
        </w:rPr>
        <w:t xml:space="preserve">2 + 3 años</w:t>
      </w:r>
    </w:p>
    <w:p w:rsidR="00000000" w:rsidDel="00000000" w:rsidP="00000000" w:rsidRDefault="00000000" w:rsidRPr="00000000" w14:paraId="0000003C">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03D">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Caja</w:t>
        <w:tab/>
        <w:tab/>
        <w:tab/>
        <w:tab/>
      </w:r>
      <w:r w:rsidDel="00000000" w:rsidR="00000000" w:rsidRPr="00000000">
        <w:rPr>
          <w:rFonts w:ascii="Open Sans" w:cs="Open Sans" w:eastAsia="Open Sans" w:hAnsi="Open Sans"/>
          <w:rtl w:val="0"/>
        </w:rPr>
        <w:t xml:space="preserve">Titanio de grado 5</w:t>
      </w:r>
    </w:p>
    <w:p w:rsidR="00000000" w:rsidDel="00000000" w:rsidP="00000000" w:rsidRDefault="00000000" w:rsidRPr="00000000" w14:paraId="0000003E">
      <w:pPr>
        <w:widowControl w:val="0"/>
        <w:ind w:left="2160" w:firstLine="720"/>
        <w:rPr>
          <w:rFonts w:ascii="Open Sans" w:cs="Open Sans" w:eastAsia="Open Sans" w:hAnsi="Open Sans"/>
        </w:rPr>
      </w:pPr>
      <w:r w:rsidDel="00000000" w:rsidR="00000000" w:rsidRPr="00000000">
        <w:rPr>
          <w:rFonts w:ascii="Open Sans" w:cs="Open Sans" w:eastAsia="Open Sans" w:hAnsi="Open Sans"/>
          <w:rtl w:val="0"/>
        </w:rPr>
        <w:t xml:space="preserve">Cristal de zafiro anti-reflectante en forma de cúpula</w:t>
      </w:r>
    </w:p>
    <w:p w:rsidR="00000000" w:rsidDel="00000000" w:rsidP="00000000" w:rsidRDefault="00000000" w:rsidRPr="00000000" w14:paraId="0000003F">
      <w:pPr>
        <w:widowControl w:val="0"/>
        <w:ind w:left="2160" w:firstLine="720"/>
        <w:rPr>
          <w:rFonts w:ascii="Open Sans" w:cs="Open Sans" w:eastAsia="Open Sans" w:hAnsi="Open Sans"/>
        </w:rPr>
      </w:pPr>
      <w:r w:rsidDel="00000000" w:rsidR="00000000" w:rsidRPr="00000000">
        <w:rPr>
          <w:rFonts w:ascii="Open Sans" w:cs="Open Sans" w:eastAsia="Open Sans" w:hAnsi="Open Sans"/>
          <w:rtl w:val="0"/>
        </w:rPr>
        <w:t xml:space="preserve">Pulsador con grabado “Time Set”</w:t>
      </w:r>
    </w:p>
    <w:p w:rsidR="00000000" w:rsidDel="00000000" w:rsidP="00000000" w:rsidRDefault="00000000" w:rsidRPr="00000000" w14:paraId="00000040">
      <w:pPr>
        <w:widowControl w:val="0"/>
        <w:ind w:left="2160" w:firstLine="720"/>
        <w:rPr>
          <w:rFonts w:ascii="Open Sans" w:cs="Open Sans" w:eastAsia="Open Sans" w:hAnsi="Open Sans"/>
        </w:rPr>
      </w:pPr>
      <w:r w:rsidDel="00000000" w:rsidR="00000000" w:rsidRPr="00000000">
        <w:rPr>
          <w:rtl w:val="0"/>
        </w:rPr>
      </w:r>
    </w:p>
    <w:p w:rsidR="00000000" w:rsidDel="00000000" w:rsidP="00000000" w:rsidRDefault="00000000" w:rsidRPr="00000000" w14:paraId="00000041">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2">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Diámetro</w:t>
        <w:tab/>
        <w:tab/>
        <w:tab/>
      </w:r>
      <w:r w:rsidDel="00000000" w:rsidR="00000000" w:rsidRPr="00000000">
        <w:rPr>
          <w:rFonts w:ascii="Open Sans" w:cs="Open Sans" w:eastAsia="Open Sans" w:hAnsi="Open Sans"/>
          <w:rtl w:val="0"/>
        </w:rPr>
        <w:t xml:space="preserve">45 mm</w:t>
      </w:r>
    </w:p>
    <w:p w:rsidR="00000000" w:rsidDel="00000000" w:rsidP="00000000" w:rsidRDefault="00000000" w:rsidRPr="00000000" w14:paraId="00000043">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Espesor</w:t>
        <w:tab/>
        <w:tab/>
        <w:tab/>
      </w:r>
      <w:r w:rsidDel="00000000" w:rsidR="00000000" w:rsidRPr="00000000">
        <w:rPr>
          <w:rFonts w:ascii="Open Sans" w:cs="Open Sans" w:eastAsia="Open Sans" w:hAnsi="Open Sans"/>
          <w:rtl w:val="0"/>
        </w:rPr>
        <w:t xml:space="preserve">20 mm</w:t>
      </w:r>
    </w:p>
    <w:p w:rsidR="00000000" w:rsidDel="00000000" w:rsidP="00000000" w:rsidRDefault="00000000" w:rsidRPr="00000000" w14:paraId="00000044">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Sin cristal de zafiro</w:t>
        <w:tab/>
        <w:tab/>
      </w:r>
      <w:r w:rsidDel="00000000" w:rsidR="00000000" w:rsidRPr="00000000">
        <w:rPr>
          <w:rFonts w:ascii="Open Sans" w:cs="Open Sans" w:eastAsia="Open Sans" w:hAnsi="Open Sans"/>
          <w:rtl w:val="0"/>
        </w:rPr>
        <w:t xml:space="preserve">12,5 mm</w:t>
      </w:r>
      <w:r w:rsidDel="00000000" w:rsidR="00000000" w:rsidRPr="00000000">
        <w:rPr>
          <w:rtl w:val="0"/>
        </w:rPr>
      </w:r>
    </w:p>
    <w:p w:rsidR="00000000" w:rsidDel="00000000" w:rsidP="00000000" w:rsidRDefault="00000000" w:rsidRPr="00000000" w14:paraId="00000045">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6">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7">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Estanqueidad </w:t>
        <w:tab/>
        <w:tab/>
      </w:r>
      <w:r w:rsidDel="00000000" w:rsidR="00000000" w:rsidRPr="00000000">
        <w:rPr>
          <w:rFonts w:ascii="Open Sans" w:cs="Open Sans" w:eastAsia="Open Sans" w:hAnsi="Open Sans"/>
          <w:rtl w:val="0"/>
        </w:rPr>
        <w:t xml:space="preserve">30 m or 3 ATM</w:t>
      </w:r>
    </w:p>
    <w:p w:rsidR="00000000" w:rsidDel="00000000" w:rsidP="00000000" w:rsidRDefault="00000000" w:rsidRPr="00000000" w14:paraId="00000048">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049">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Fondo de caja</w:t>
      </w:r>
      <w:r w:rsidDel="00000000" w:rsidR="00000000" w:rsidRPr="00000000">
        <w:rPr>
          <w:rFonts w:ascii="Open Sans" w:cs="Open Sans" w:eastAsia="Open Sans" w:hAnsi="Open Sans"/>
          <w:rtl w:val="0"/>
        </w:rPr>
        <w:tab/>
        <w:tab/>
        <w:t xml:space="preserve">Titanio de grado 5</w:t>
      </w:r>
    </w:p>
    <w:p w:rsidR="00000000" w:rsidDel="00000000" w:rsidP="00000000" w:rsidRDefault="00000000" w:rsidRPr="00000000" w14:paraId="0000004A">
      <w:pPr>
        <w:widowControl w:val="0"/>
        <w:ind w:left="2160" w:firstLine="720"/>
        <w:rPr>
          <w:rFonts w:ascii="Open Sans" w:cs="Open Sans" w:eastAsia="Open Sans" w:hAnsi="Open Sans"/>
        </w:rPr>
      </w:pPr>
      <w:r w:rsidDel="00000000" w:rsidR="00000000" w:rsidRPr="00000000">
        <w:rPr>
          <w:rFonts w:ascii="Open Sans" w:cs="Open Sans" w:eastAsia="Open Sans" w:hAnsi="Open Sans"/>
          <w:rtl w:val="0"/>
        </w:rPr>
        <w:t xml:space="preserve">4 cristales de zafiro anti-reflectante</w:t>
      </w:r>
    </w:p>
    <w:p w:rsidR="00000000" w:rsidDel="00000000" w:rsidP="00000000" w:rsidRDefault="00000000" w:rsidRPr="00000000" w14:paraId="0000004B">
      <w:pPr>
        <w:widowControl w:val="0"/>
        <w:ind w:left="2160" w:firstLine="720"/>
        <w:rPr>
          <w:rFonts w:ascii="Open Sans" w:cs="Open Sans" w:eastAsia="Open Sans" w:hAnsi="Open Sans"/>
        </w:rPr>
      </w:pPr>
      <w:r w:rsidDel="00000000" w:rsidR="00000000" w:rsidRPr="00000000">
        <w:rPr>
          <w:rFonts w:ascii="Open Sans" w:cs="Open Sans" w:eastAsia="Open Sans" w:hAnsi="Open Sans"/>
          <w:rtl w:val="0"/>
        </w:rPr>
        <w:t xml:space="preserve">Corona de anilla en D</w:t>
      </w:r>
    </w:p>
    <w:p w:rsidR="00000000" w:rsidDel="00000000" w:rsidP="00000000" w:rsidRDefault="00000000" w:rsidRPr="00000000" w14:paraId="0000004C">
      <w:pPr>
        <w:widowControl w:val="0"/>
        <w:ind w:left="2160" w:firstLine="720"/>
        <w:rPr>
          <w:rFonts w:ascii="Open Sans" w:cs="Open Sans" w:eastAsia="Open Sans" w:hAnsi="Open Sans"/>
        </w:rPr>
      </w:pPr>
      <w:r w:rsidDel="00000000" w:rsidR="00000000" w:rsidRPr="00000000">
        <w:rPr>
          <w:rtl w:val="0"/>
        </w:rPr>
      </w:r>
    </w:p>
    <w:p w:rsidR="00000000" w:rsidDel="00000000" w:rsidP="00000000" w:rsidRDefault="00000000" w:rsidRPr="00000000" w14:paraId="0000004D">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Calibre</w:t>
        <w:tab/>
        <w:tab/>
        <w:tab/>
      </w:r>
      <w:r w:rsidDel="00000000" w:rsidR="00000000" w:rsidRPr="00000000">
        <w:rPr>
          <w:rFonts w:ascii="Open Sans" w:cs="Open Sans" w:eastAsia="Open Sans" w:hAnsi="Open Sans"/>
          <w:rtl w:val="0"/>
        </w:rPr>
        <w:t xml:space="preserve">KS 7'000</w:t>
      </w:r>
    </w:p>
    <w:p w:rsidR="00000000" w:rsidDel="00000000" w:rsidP="00000000" w:rsidRDefault="00000000" w:rsidRPr="00000000" w14:paraId="0000004E">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Funciones</w:t>
        <w:tab/>
        <w:tab/>
        <w:tab/>
      </w:r>
      <w:r w:rsidDel="00000000" w:rsidR="00000000" w:rsidRPr="00000000">
        <w:rPr>
          <w:rFonts w:ascii="Open Sans" w:cs="Open Sans" w:eastAsia="Open Sans" w:hAnsi="Open Sans"/>
          <w:rtl w:val="0"/>
        </w:rPr>
        <w:t xml:space="preserve">Tourbillon central de carga manual</w:t>
      </w:r>
    </w:p>
    <w:p w:rsidR="00000000" w:rsidDel="00000000" w:rsidP="00000000" w:rsidRDefault="00000000" w:rsidRPr="00000000" w14:paraId="0000004F">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Frecuencia</w:t>
        <w:tab/>
        <w:tab/>
        <w:tab/>
      </w:r>
      <w:r w:rsidDel="00000000" w:rsidR="00000000" w:rsidRPr="00000000">
        <w:rPr>
          <w:rFonts w:ascii="Open Sans" w:cs="Open Sans" w:eastAsia="Open Sans" w:hAnsi="Open Sans"/>
          <w:rtl w:val="0"/>
        </w:rPr>
        <w:t xml:space="preserve">21'600 bph / 3 Hz</w:t>
      </w:r>
    </w:p>
    <w:p w:rsidR="00000000" w:rsidDel="00000000" w:rsidP="00000000" w:rsidRDefault="00000000" w:rsidRPr="00000000" w14:paraId="00000050">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Rubíes</w:t>
        <w:tab/>
        <w:tab/>
        <w:tab/>
      </w:r>
      <w:r w:rsidDel="00000000" w:rsidR="00000000" w:rsidRPr="00000000">
        <w:rPr>
          <w:rFonts w:ascii="Open Sans" w:cs="Open Sans" w:eastAsia="Open Sans" w:hAnsi="Open Sans"/>
          <w:rtl w:val="0"/>
        </w:rPr>
        <w:t xml:space="preserve">27</w:t>
      </w:r>
    </w:p>
    <w:p w:rsidR="00000000" w:rsidDel="00000000" w:rsidP="00000000" w:rsidRDefault="00000000" w:rsidRPr="00000000" w14:paraId="00000051">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Componentes</w:t>
        <w:tab/>
        <w:tab/>
      </w:r>
      <w:r w:rsidDel="00000000" w:rsidR="00000000" w:rsidRPr="00000000">
        <w:rPr>
          <w:rFonts w:ascii="Open Sans" w:cs="Open Sans" w:eastAsia="Open Sans" w:hAnsi="Open Sans"/>
          <w:rtl w:val="0"/>
        </w:rPr>
        <w:t xml:space="preserve">203</w:t>
      </w:r>
      <w:r w:rsidDel="00000000" w:rsidR="00000000" w:rsidRPr="00000000">
        <w:rPr>
          <w:rtl w:val="0"/>
        </w:rPr>
      </w:r>
    </w:p>
    <w:p w:rsidR="00000000" w:rsidDel="00000000" w:rsidP="00000000" w:rsidRDefault="00000000" w:rsidRPr="00000000" w14:paraId="00000052">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Reserva de marcha</w:t>
        <w:tab/>
        <w:tab/>
      </w:r>
      <w:r w:rsidDel="00000000" w:rsidR="00000000" w:rsidRPr="00000000">
        <w:rPr>
          <w:rFonts w:ascii="Open Sans" w:cs="Open Sans" w:eastAsia="Open Sans" w:hAnsi="Open Sans"/>
          <w:rtl w:val="0"/>
        </w:rPr>
        <w:t xml:space="preserve">5 días</w:t>
      </w:r>
      <w:r w:rsidDel="00000000" w:rsidR="00000000" w:rsidRPr="00000000">
        <w:rPr>
          <w:rtl w:val="0"/>
        </w:rPr>
      </w:r>
    </w:p>
    <w:p w:rsidR="00000000" w:rsidDel="00000000" w:rsidP="00000000" w:rsidRDefault="00000000" w:rsidRPr="00000000" w14:paraId="00000053">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054">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Correas intercambiables</w:t>
      </w:r>
      <w:r w:rsidDel="00000000" w:rsidR="00000000" w:rsidRPr="00000000">
        <w:rPr>
          <w:rtl w:val="0"/>
        </w:rPr>
      </w:r>
    </w:p>
    <w:p w:rsidR="00000000" w:rsidDel="00000000" w:rsidP="00000000" w:rsidRDefault="00000000" w:rsidRPr="00000000" w14:paraId="00000055">
      <w:pPr>
        <w:widowControl w:val="0"/>
        <w:rPr>
          <w:rFonts w:ascii="Open Sans" w:cs="Open Sans" w:eastAsia="Open Sans" w:hAnsi="Open Sans"/>
        </w:rPr>
      </w:pPr>
      <w:r w:rsidDel="00000000" w:rsidR="00000000" w:rsidRPr="00000000">
        <w:rPr>
          <w:rFonts w:ascii="Open Sans" w:cs="Open Sans" w:eastAsia="Open Sans" w:hAnsi="Open Sans"/>
          <w:rtl w:val="0"/>
        </w:rPr>
        <w:t xml:space="preserve">1. Correa de piel azul con diseño inspirado de un balón de un baloncesto y pespuntes negros.</w:t>
      </w:r>
    </w:p>
    <w:p w:rsidR="00000000" w:rsidDel="00000000" w:rsidP="00000000" w:rsidRDefault="00000000" w:rsidRPr="00000000" w14:paraId="00000056">
      <w:pPr>
        <w:widowControl w:val="0"/>
        <w:rPr>
          <w:rFonts w:ascii="Open Sans" w:cs="Open Sans" w:eastAsia="Open Sans" w:hAnsi="Open Sans"/>
        </w:rPr>
      </w:pPr>
      <w:r w:rsidDel="00000000" w:rsidR="00000000" w:rsidRPr="00000000">
        <w:rPr>
          <w:rFonts w:ascii="Open Sans" w:cs="Open Sans" w:eastAsia="Open Sans" w:hAnsi="Open Sans"/>
          <w:rtl w:val="0"/>
        </w:rPr>
        <w:t xml:space="preserve">2. Correa de caucho naranja con diseño inspirado de un baloncesto y pespuntes negros.</w:t>
      </w:r>
    </w:p>
    <w:p w:rsidR="00000000" w:rsidDel="00000000" w:rsidP="00000000" w:rsidRDefault="00000000" w:rsidRPr="00000000" w14:paraId="00000057">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8">
      <w:pPr>
        <w:rPr>
          <w:rFonts w:ascii="Open Sans" w:cs="Open Sans" w:eastAsia="Open Sans" w:hAnsi="Open Sans"/>
          <w:b w:val="1"/>
        </w:rPr>
      </w:pPr>
      <w:r w:rsidDel="00000000" w:rsidR="00000000" w:rsidRPr="00000000">
        <w:rPr>
          <w:rFonts w:ascii="Open Sans" w:cs="Open Sans" w:eastAsia="Open Sans" w:hAnsi="Open Sans"/>
          <w:b w:val="1"/>
          <w:sz w:val="24"/>
          <w:szCs w:val="24"/>
          <w:highlight w:val="white"/>
          <w:rtl w:val="0"/>
        </w:rPr>
        <w:t xml:space="preserve">KROSS STUDIO B-BALL</w:t>
      </w:r>
      <w:r w:rsidDel="00000000" w:rsidR="00000000" w:rsidRPr="00000000">
        <w:rPr>
          <w:rtl w:val="0"/>
        </w:rPr>
      </w:r>
    </w:p>
    <w:p w:rsidR="00000000" w:rsidDel="00000000" w:rsidP="00000000" w:rsidRDefault="00000000" w:rsidRPr="00000000" w14:paraId="00000059">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DIMENSIÓNES</w:t>
      </w:r>
    </w:p>
    <w:p w:rsidR="00000000" w:rsidDel="00000000" w:rsidP="00000000" w:rsidRDefault="00000000" w:rsidRPr="00000000" w14:paraId="0000005A">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Alto</w:t>
      </w:r>
    </w:p>
    <w:p w:rsidR="00000000" w:rsidDel="00000000" w:rsidP="00000000" w:rsidRDefault="00000000" w:rsidRPr="00000000" w14:paraId="0000005B">
      <w:pPr>
        <w:widowControl w:val="0"/>
        <w:rPr>
          <w:rFonts w:ascii="Open Sans" w:cs="Open Sans" w:eastAsia="Open Sans" w:hAnsi="Open Sans"/>
        </w:rPr>
      </w:pPr>
      <w:r w:rsidDel="00000000" w:rsidR="00000000" w:rsidRPr="00000000">
        <w:rPr>
          <w:rFonts w:ascii="Open Sans" w:cs="Open Sans" w:eastAsia="Open Sans" w:hAnsi="Open Sans"/>
          <w:rtl w:val="0"/>
        </w:rPr>
        <w:t xml:space="preserve">Cerrado </w:t>
        <w:tab/>
        <w:tab/>
        <w:t xml:space="preserve">Alt. 333 mm</w:t>
      </w:r>
    </w:p>
    <w:p w:rsidR="00000000" w:rsidDel="00000000" w:rsidP="00000000" w:rsidRDefault="00000000" w:rsidRPr="00000000" w14:paraId="0000005C">
      <w:pPr>
        <w:widowControl w:val="0"/>
        <w:rPr>
          <w:rFonts w:ascii="Open Sans" w:cs="Open Sans" w:eastAsia="Open Sans" w:hAnsi="Open Sans"/>
        </w:rPr>
      </w:pPr>
      <w:r w:rsidDel="00000000" w:rsidR="00000000" w:rsidRPr="00000000">
        <w:rPr>
          <w:rFonts w:ascii="Open Sans" w:cs="Open Sans" w:eastAsia="Open Sans" w:hAnsi="Open Sans"/>
          <w:rtl w:val="0"/>
        </w:rPr>
        <w:t xml:space="preserve">Abierto</w:t>
        <w:tab/>
        <w:tab/>
        <w:t xml:space="preserve">Alt. 440,5 mm</w:t>
      </w:r>
    </w:p>
    <w:p w:rsidR="00000000" w:rsidDel="00000000" w:rsidP="00000000" w:rsidRDefault="00000000" w:rsidRPr="00000000" w14:paraId="0000005D">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05E">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Diámetro</w:t>
      </w:r>
    </w:p>
    <w:p w:rsidR="00000000" w:rsidDel="00000000" w:rsidP="00000000" w:rsidRDefault="00000000" w:rsidRPr="00000000" w14:paraId="0000005F">
      <w:pPr>
        <w:widowControl w:val="0"/>
        <w:rPr>
          <w:rFonts w:ascii="Open Sans" w:cs="Open Sans" w:eastAsia="Open Sans" w:hAnsi="Open Sans"/>
        </w:rPr>
      </w:pPr>
      <w:r w:rsidDel="00000000" w:rsidR="00000000" w:rsidRPr="00000000">
        <w:rPr>
          <w:rFonts w:ascii="Open Sans" w:cs="Open Sans" w:eastAsia="Open Sans" w:hAnsi="Open Sans"/>
          <w:rtl w:val="0"/>
        </w:rPr>
        <w:t xml:space="preserve">B-BALL </w:t>
        <w:tab/>
        <w:tab/>
        <w:t xml:space="preserve">Ø 260 mm</w:t>
      </w:r>
    </w:p>
    <w:p w:rsidR="00000000" w:rsidDel="00000000" w:rsidP="00000000" w:rsidRDefault="00000000" w:rsidRPr="00000000" w14:paraId="00000060">
      <w:pPr>
        <w:widowControl w:val="0"/>
        <w:rPr>
          <w:rFonts w:ascii="Open Sans" w:cs="Open Sans" w:eastAsia="Open Sans" w:hAnsi="Open Sans"/>
        </w:rPr>
      </w:pPr>
      <w:r w:rsidDel="00000000" w:rsidR="00000000" w:rsidRPr="00000000">
        <w:rPr>
          <w:rFonts w:ascii="Open Sans" w:cs="Open Sans" w:eastAsia="Open Sans" w:hAnsi="Open Sans"/>
          <w:rtl w:val="0"/>
        </w:rPr>
        <w:t xml:space="preserve">BASE </w:t>
        <w:tab/>
        <w:tab/>
        <w:tab/>
        <w:t xml:space="preserve">Ø 253,7 mm</w:t>
      </w:r>
    </w:p>
    <w:p w:rsidR="00000000" w:rsidDel="00000000" w:rsidP="00000000" w:rsidRDefault="00000000" w:rsidRPr="00000000" w14:paraId="00000061">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062">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Peso </w:t>
        <w:tab/>
        <w:tab/>
        <w:tab/>
      </w:r>
      <w:r w:rsidDel="00000000" w:rsidR="00000000" w:rsidRPr="00000000">
        <w:rPr>
          <w:rFonts w:ascii="Open Sans" w:cs="Open Sans" w:eastAsia="Open Sans" w:hAnsi="Open Sans"/>
          <w:rtl w:val="0"/>
        </w:rPr>
        <w:t xml:space="preserve">6,5 kg</w:t>
      </w:r>
    </w:p>
    <w:p w:rsidR="00000000" w:rsidDel="00000000" w:rsidP="00000000" w:rsidRDefault="00000000" w:rsidRPr="00000000" w14:paraId="00000063">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064">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MATERIALES</w:t>
      </w:r>
    </w:p>
    <w:p w:rsidR="00000000" w:rsidDel="00000000" w:rsidP="00000000" w:rsidRDefault="00000000" w:rsidRPr="00000000" w14:paraId="00000065">
      <w:pPr>
        <w:widowControl w:val="0"/>
        <w:rPr>
          <w:rFonts w:ascii="Open Sans" w:cs="Open Sans" w:eastAsia="Open Sans" w:hAnsi="Open Sans"/>
        </w:rPr>
      </w:pPr>
      <w:r w:rsidDel="00000000" w:rsidR="00000000" w:rsidRPr="00000000">
        <w:rPr>
          <w:rFonts w:ascii="Open Sans" w:cs="Open Sans" w:eastAsia="Open Sans" w:hAnsi="Open Sans"/>
          <w:rtl w:val="0"/>
        </w:rPr>
        <w:t xml:space="preserve">Madera de roble</w:t>
      </w:r>
    </w:p>
    <w:p w:rsidR="00000000" w:rsidDel="00000000" w:rsidP="00000000" w:rsidRDefault="00000000" w:rsidRPr="00000000" w14:paraId="00000066">
      <w:pPr>
        <w:widowControl w:val="0"/>
        <w:rPr>
          <w:rFonts w:ascii="Open Sans" w:cs="Open Sans" w:eastAsia="Open Sans" w:hAnsi="Open Sans"/>
          <w:b w:val="1"/>
        </w:rPr>
      </w:pPr>
      <w:r w:rsidDel="00000000" w:rsidR="00000000" w:rsidRPr="00000000">
        <w:rPr>
          <w:rFonts w:ascii="Open Sans" w:cs="Open Sans" w:eastAsia="Open Sans" w:hAnsi="Open Sans"/>
          <w:rtl w:val="0"/>
        </w:rPr>
        <w:t xml:space="preserve">Aluminio</w:t>
      </w:r>
      <w:r w:rsidDel="00000000" w:rsidR="00000000" w:rsidRPr="00000000">
        <w:rPr>
          <w:rtl w:val="0"/>
        </w:rPr>
      </w:r>
    </w:p>
    <w:p w:rsidR="00000000" w:rsidDel="00000000" w:rsidP="00000000" w:rsidRDefault="00000000" w:rsidRPr="00000000" w14:paraId="00000067">
      <w:pPr>
        <w:spacing w:before="240" w:lineRule="auto"/>
        <w:jc w:val="both"/>
        <w:rPr>
          <w:rFonts w:ascii="Open Sans" w:cs="Open Sans" w:eastAsia="Open Sans" w:hAnsi="Open Sans"/>
        </w:rPr>
      </w:pPr>
      <w:r w:rsidDel="00000000" w:rsidR="00000000" w:rsidRPr="00000000">
        <w:rPr>
          <w:rtl w:val="0"/>
        </w:rPr>
      </w:r>
    </w:p>
    <w:sectPr>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spacing w:after="160" w:line="259" w:lineRule="auto"/>
      <w:jc w:val="center"/>
      <w:rPr>
        <w:rFonts w:ascii="Open Sans" w:cs="Open Sans" w:eastAsia="Open Sans" w:hAnsi="Open Sans"/>
        <w:sz w:val="18"/>
        <w:szCs w:val="18"/>
      </w:rPr>
    </w:pPr>
    <w:r w:rsidDel="00000000" w:rsidR="00000000" w:rsidRPr="00000000">
      <w:rPr>
        <w:rFonts w:ascii="Open Sans" w:cs="Open Sans" w:eastAsia="Open Sans" w:hAnsi="Open Sans"/>
        <w:sz w:val="16"/>
        <w:szCs w:val="16"/>
        <w:rtl w:val="0"/>
      </w:rPr>
      <w:t xml:space="preserve">Kross </w:t>
    </w:r>
    <w:r w:rsidDel="00000000" w:rsidR="00000000" w:rsidRPr="00000000">
      <w:rPr>
        <w:rFonts w:ascii="Open Sans" w:cs="Open Sans" w:eastAsia="Open Sans" w:hAnsi="Open Sans"/>
        <w:color w:val="111111"/>
        <w:sz w:val="16"/>
        <w:szCs w:val="16"/>
        <w:highlight w:val="white"/>
        <w:rtl w:val="0"/>
      </w:rPr>
      <w:t xml:space="preserve">Studio </w:t>
    </w:r>
    <w:hyperlink r:id="rId1">
      <w:r w:rsidDel="00000000" w:rsidR="00000000" w:rsidRPr="00000000">
        <w:rPr>
          <w:rFonts w:ascii="Open Sans" w:cs="Open Sans" w:eastAsia="Open Sans" w:hAnsi="Open Sans"/>
          <w:color w:val="111111"/>
          <w:sz w:val="16"/>
          <w:szCs w:val="16"/>
          <w:highlight w:val="white"/>
          <w:rtl w:val="0"/>
        </w:rPr>
        <w:t xml:space="preserve">| </w:t>
      </w:r>
    </w:hyperlink>
    <w:hyperlink r:id="rId2">
      <w:r w:rsidDel="00000000" w:rsidR="00000000" w:rsidRPr="00000000">
        <w:rPr>
          <w:rFonts w:ascii="Open Sans" w:cs="Open Sans" w:eastAsia="Open Sans" w:hAnsi="Open Sans"/>
          <w:color w:val="1155cc"/>
          <w:sz w:val="16"/>
          <w:szCs w:val="16"/>
          <w:highlight w:val="white"/>
          <w:u w:val="single"/>
          <w:rtl w:val="0"/>
        </w:rPr>
        <w:t xml:space="preserve">media@kross.studio</w:t>
      </w:r>
    </w:hyperlink>
    <w:r w:rsidDel="00000000" w:rsidR="00000000" w:rsidRPr="00000000">
      <w:rPr>
        <w:rFonts w:ascii="Open Sans" w:cs="Open Sans" w:eastAsia="Open Sans" w:hAnsi="Open Sans"/>
        <w:color w:val="111111"/>
        <w:sz w:val="16"/>
        <w:szCs w:val="16"/>
        <w:highlight w:val="white"/>
        <w:rtl w:val="0"/>
      </w:rPr>
      <w:t xml:space="preserve"> |</w:t>
    </w:r>
    <w:r w:rsidDel="00000000" w:rsidR="00000000" w:rsidRPr="00000000">
      <w:rPr>
        <w:rFonts w:ascii="Open Sans" w:cs="Open Sans" w:eastAsia="Open Sans" w:hAnsi="Open Sans"/>
        <w:sz w:val="16"/>
        <w:szCs w:val="16"/>
        <w:rtl w:val="0"/>
      </w:rPr>
      <w:t xml:space="preserve"> </w:t>
    </w:r>
    <w:r w:rsidDel="00000000" w:rsidR="00000000" w:rsidRPr="00000000">
      <w:rPr>
        <w:rFonts w:ascii="Open Sans" w:cs="Open Sans" w:eastAsia="Open Sans" w:hAnsi="Open Sans"/>
        <w:color w:val="111111"/>
        <w:sz w:val="16"/>
        <w:szCs w:val="16"/>
        <w:highlight w:val="white"/>
        <w:rtl w:val="0"/>
      </w:rPr>
      <w:t xml:space="preserve">+ 41 22 364 14 14 </w:t>
    </w:r>
    <w:r w:rsidDel="00000000" w:rsidR="00000000" w:rsidRPr="00000000">
      <w:rPr>
        <w:rFonts w:ascii="Open Sans" w:cs="Open Sans" w:eastAsia="Open Sans" w:hAnsi="Open Sans"/>
        <w:sz w:val="16"/>
        <w:szCs w:val="16"/>
        <w:rtl w:val="0"/>
      </w:rPr>
      <w:t xml:space="preserve">| Route des Avouillons 8, 1196 Gland, Switzerland</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6035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5"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5" name="image3.png"/>
              <a:graphic>
                <a:graphicData uri="http://schemas.openxmlformats.org/drawingml/2006/picture">
                  <pic:pic>
                    <pic:nvPicPr>
                      <pic:cNvPr id="0" name="image3.png"/>
                      <pic:cNvPicPr preferRelativeResize="0"/>
                    </pic:nvPicPr>
                    <pic:blipFill>
                      <a:blip r:embed="rId4"/>
                      <a:srcRect/>
                      <a:stretch>
                        <a:fillRect/>
                      </a:stretch>
                    </pic:blipFill>
                    <pic:spPr>
                      <a:xfrm>
                        <a:off x="0" y="0"/>
                        <a:ext cx="6035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image2.png"/>
              <a:graphic>
                <a:graphicData uri="http://schemas.openxmlformats.org/drawingml/2006/picture">
                  <pic:pic>
                    <pic:nvPicPr>
                      <pic:cNvPr id="0" name="image2.png"/>
                      <pic:cNvPicPr preferRelativeResize="0"/>
                    </pic:nvPicPr>
                    <pic:blipFill>
                      <a:blip r:embed="rId5"/>
                      <a:srcRect/>
                      <a:stretch>
                        <a:fillRect/>
                      </a:stretch>
                    </pic:blipFill>
                    <pic:spPr>
                      <a:xfrm>
                        <a:off x="0" y="0"/>
                        <a:ext cx="6035040"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itre1">
    <w:name w:val="heading 1"/>
    <w:basedOn w:val="Normal"/>
    <w:next w:val="Normal"/>
    <w:uiPriority w:val="9"/>
    <w:qFormat w:val="1"/>
    <w:pPr>
      <w:keepNext w:val="1"/>
      <w:keepLines w:val="1"/>
      <w:spacing w:after="120" w:before="400"/>
      <w:outlineLvl w:val="0"/>
    </w:pPr>
    <w:rPr>
      <w:sz w:val="40"/>
      <w:szCs w:val="40"/>
    </w:rPr>
  </w:style>
  <w:style w:type="paragraph" w:styleId="Titre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itre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itre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itre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itre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60"/>
    </w:pPr>
    <w:rPr>
      <w:sz w:val="52"/>
      <w:szCs w:val="52"/>
    </w:rPr>
  </w:style>
  <w:style w:type="paragraph" w:styleId="Sous-titre">
    <w:name w:val="Subtitle"/>
    <w:basedOn w:val="Normal"/>
    <w:next w:val="Normal"/>
    <w:uiPriority w:val="11"/>
    <w:qFormat w:val="1"/>
    <w:pPr>
      <w:keepNext w:val="1"/>
      <w:keepLines w:val="1"/>
      <w:spacing w:after="320"/>
    </w:pPr>
    <w:rPr>
      <w:color w:val="666666"/>
      <w:sz w:val="30"/>
      <w:szCs w:val="30"/>
    </w:rPr>
  </w:style>
  <w:style w:type="paragraph" w:styleId="En-tte">
    <w:name w:val="header"/>
    <w:basedOn w:val="Normal"/>
    <w:link w:val="En-tteCar"/>
    <w:uiPriority w:val="99"/>
    <w:unhideWhenUsed w:val="1"/>
    <w:rsid w:val="005F4EE9"/>
    <w:pPr>
      <w:tabs>
        <w:tab w:val="center" w:pos="4536"/>
        <w:tab w:val="right" w:pos="9072"/>
      </w:tabs>
      <w:spacing w:line="240" w:lineRule="auto"/>
    </w:pPr>
  </w:style>
  <w:style w:type="character" w:styleId="En-tteCar" w:customStyle="1">
    <w:name w:val="En-tête Car"/>
    <w:basedOn w:val="Policepardfaut"/>
    <w:link w:val="En-tte"/>
    <w:uiPriority w:val="99"/>
    <w:rsid w:val="005F4EE9"/>
  </w:style>
  <w:style w:type="paragraph" w:styleId="Pieddepage">
    <w:name w:val="footer"/>
    <w:basedOn w:val="Normal"/>
    <w:link w:val="PieddepageCar"/>
    <w:uiPriority w:val="99"/>
    <w:unhideWhenUsed w:val="1"/>
    <w:rsid w:val="005F4EE9"/>
    <w:pPr>
      <w:tabs>
        <w:tab w:val="center" w:pos="4536"/>
        <w:tab w:val="right" w:pos="9072"/>
      </w:tabs>
      <w:spacing w:line="240" w:lineRule="auto"/>
    </w:pPr>
  </w:style>
  <w:style w:type="character" w:styleId="PieddepageCar" w:customStyle="1">
    <w:name w:val="Pied de page Car"/>
    <w:basedOn w:val="Policepardfaut"/>
    <w:link w:val="Pieddepage"/>
    <w:uiPriority w:val="99"/>
    <w:rsid w:val="005F4EE9"/>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hyperlink" Target="http://www.kross-studio.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about:blank" TargetMode="External"/><Relationship Id="rId2" Type="http://schemas.openxmlformats.org/officeDocument/2006/relationships/hyperlink" Target="mailto:media@kross.studio" TargetMode="External"/><Relationship Id="rId3" Type="http://schemas.openxmlformats.org/officeDocument/2006/relationships/image" Target="media/image1.png"/><Relationship Id="rId4" Type="http://schemas.openxmlformats.org/officeDocument/2006/relationships/image" Target="media/image3.png"/><Relationship Id="rId5"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6R9sFBOZmlf6mDgEJgh+xTWpsQ==">AMUW2mWBzWNAr6SXSm0uEDcMMj4HlCzvoe4sgJi6ctpPWWicJqYGMHkA3oGthxojWY0PqDFnPKku7ErRu0KbNlsARDtprHLTvU2EtgbxpaAQfcjF/PtA4EpjlnLDgJzkY/fV+lyDRth1ZrF6h/BY5D6lPGCGPRH8BK2uVwlG+1+6UroVC7pN2bM=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2021-06-25T09:32:00Z</dcterms:created>
</cp:coreProperties>
</file>