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4203072" cy="1319213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03072" cy="13192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Kross Studio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Warner Bros. Consumer Products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طلقان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طقم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جديد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رائع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مخصص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المميزة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: Space Jam: A New Legacy.   </w:t>
      </w:r>
    </w:p>
    <w:p w:rsidR="00000000" w:rsidDel="00000000" w:rsidP="00000000" w:rsidRDefault="00000000" w:rsidRPr="00000000" w14:paraId="00000004">
      <w:pPr>
        <w:bidi w:val="1"/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أله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الإصدار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المحدود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بـ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10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يتضم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تفاعلي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تجمعان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الأداء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التقني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وشخصي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Looney Tunes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أناقة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يحتفي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الأحدث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Warner Bros. Consumer Products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بدأ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عرضه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السينما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16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يوليو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2021،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وعرض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شبكة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إتش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ماكس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31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ابتداء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إطلاقه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السينما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الولايات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وتعد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جديدة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لاستوديو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السويسري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يستمد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الإلهام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ذكريات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الطفولة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العزيزة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سبق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فعل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1989 Batmobile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  </w:t>
      </w:r>
    </w:p>
    <w:p w:rsidR="00000000" w:rsidDel="00000000" w:rsidP="00000000" w:rsidRDefault="00000000" w:rsidRPr="00000000" w14:paraId="00000008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المناسبة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متطو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فاخرة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تجتمع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فيهما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أربعة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عوالم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مذهلة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وشخصي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Looney Tunes.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          </w:t>
      </w:r>
    </w:p>
    <w:p w:rsidR="00000000" w:rsidDel="00000000" w:rsidP="00000000" w:rsidRDefault="00000000" w:rsidRPr="00000000" w14:paraId="0000000A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تماهي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روح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Tune Squad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يسعى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استوديو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تجاوز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الحدود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والقيام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بالأمور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طريقته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أثبت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استوديو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أداءه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وبراعته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التقني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مستوى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عناصر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يقابلهما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الحنين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المرح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المتجس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رموز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Looney Tunes.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 </w:t>
      </w:r>
    </w:p>
    <w:p w:rsidR="00000000" w:rsidDel="00000000" w:rsidP="00000000" w:rsidRDefault="00000000" w:rsidRPr="00000000" w14:paraId="0000000C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أهل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بكم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عالمنا</w:t>
      </w:r>
    </w:p>
    <w:p w:rsidR="00000000" w:rsidDel="00000000" w:rsidP="00000000" w:rsidRDefault="00000000" w:rsidRPr="00000000" w14:paraId="0000000E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الرياضات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الاحترافي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الأكثر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شعبي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والأسرع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تتطل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الرياضي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بتقني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ماهرة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وإتقانهم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للعبة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والطراز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الرياضي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لعالم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ثبت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تفو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أبرز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الناشئة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وكشركة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مستقل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لصناعة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القطاع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 </w:t>
      </w:r>
    </w:p>
    <w:p w:rsidR="00000000" w:rsidDel="00000000" w:rsidP="00000000" w:rsidRDefault="00000000" w:rsidRPr="00000000" w14:paraId="0000000F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الكشف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معيار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KS 7'000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بترد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هرتز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تطويره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وإنتاجه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سابق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المعيار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المناسب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بامتياز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ويعكس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أسلوب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الفائق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البراعة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ومهاراته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التقني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المعيار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الميكانيكي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اليدوي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المزو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ببرميل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كبير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الحجم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يؤم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احتياطي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طاقة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5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وسط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بحيث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يترك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مساحة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للمنظ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الوسط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قفص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البرميل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</w:t>
      </w:r>
    </w:p>
    <w:p w:rsidR="00000000" w:rsidDel="00000000" w:rsidP="00000000" w:rsidRDefault="00000000" w:rsidRPr="00000000" w14:paraId="00000013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استوديو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أداءه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فاستغل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أجزاء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نحو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يعكس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أجواء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حياة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المليئة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بالحماسة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سواء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أرض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خارجه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الهيكلي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إمكاني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مشاهدة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الأجزاء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الفائقة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التفصيل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كالمسن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نحو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أفضل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يعلو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قفص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المركزي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ويغطيه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هيكل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مخر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يشبه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خلاله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المنظ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الموجود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والجدير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بالذكر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أجزاء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البالغ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عددها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281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مصنوع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يدوي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أفضل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مصقول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   </w:t>
      </w:r>
    </w:p>
    <w:p w:rsidR="00000000" w:rsidDel="00000000" w:rsidP="00000000" w:rsidRDefault="00000000" w:rsidRPr="00000000" w14:paraId="00000017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حان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المباراة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! </w:t>
      </w:r>
    </w:p>
    <w:p w:rsidR="00000000" w:rsidDel="00000000" w:rsidP="00000000" w:rsidRDefault="00000000" w:rsidRPr="00000000" w14:paraId="00000019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تفصيل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يدعوكم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النهوض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والاستعداد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لتسديد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كعقرب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يمث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منطقة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الرميات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منطقة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محددة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تحيط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بالسلة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وتملأ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العقرب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سوبرلومينوفا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Superluminova</w:t>
      </w:r>
      <w:r w:rsidDel="00000000" w:rsidR="00000000" w:rsidRPr="00000000">
        <w:rPr>
          <w:rFonts w:ascii="Calibri" w:cs="Calibri" w:eastAsia="Calibri" w:hAnsi="Calibri"/>
          <w:sz w:val="24"/>
          <w:szCs w:val="24"/>
          <w:vertAlign w:val="superscript"/>
          <w:rtl w:val="0"/>
        </w:rPr>
        <w:t xml:space="preserve">TM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الأبيض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التألق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الضوئي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الأزرق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عرض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والدقائق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تثبيت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العقرب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آلي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عرض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محيطي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بزاوية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360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درجة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1B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Looney Tunes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مجتمع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</w:t>
      </w:r>
    </w:p>
    <w:p w:rsidR="00000000" w:rsidDel="00000000" w:rsidP="00000000" w:rsidRDefault="00000000" w:rsidRPr="00000000" w14:paraId="0000001D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خذ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أعضاء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Tunes Squad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مواقعهم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هيئة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نقوش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عجلة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ويبدو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أعضاء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الأحلام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جاهز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Bugs Bunny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Lola Bunny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Daffy Duck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Tweety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Sylvester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Marvin the Martian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Yosemite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Sam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Granny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Taz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Speedy Gonzales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Elmer Fudd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Wile E. Coyote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Road Runner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            </w:t>
      </w:r>
    </w:p>
    <w:p w:rsidR="00000000" w:rsidDel="00000000" w:rsidP="00000000" w:rsidRDefault="00000000" w:rsidRPr="00000000" w14:paraId="0000001E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تناغم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مثالي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!</w:t>
      </w:r>
    </w:p>
    <w:p w:rsidR="00000000" w:rsidDel="00000000" w:rsidP="00000000" w:rsidRDefault="00000000" w:rsidRPr="00000000" w14:paraId="00000020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تتناغم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مختلف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أجزاء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التيتانيوم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بقطر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45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تعلوها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الصفير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ببراعة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الفريدة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برز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بإتقان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ٍ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رمز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الصليب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الشعار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المعتمد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للاستوديو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اسمه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الصفيحة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وجسر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البرميل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المغط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بتقني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PVD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الأزرق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تأثير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     </w:t>
      </w:r>
    </w:p>
    <w:p w:rsidR="00000000" w:rsidDel="00000000" w:rsidP="00000000" w:rsidRDefault="00000000" w:rsidRPr="00000000" w14:paraId="00000021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تدوير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وضبط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كحلقة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حرف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D،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الضاغط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لضبط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Time Set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موضع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الثالثة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حاف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متناظر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وتجربة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راحة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مقارنة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المزو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تقليدي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وحسب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يتيح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أسرع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</w:t>
      </w:r>
    </w:p>
    <w:p w:rsidR="00000000" w:rsidDel="00000000" w:rsidP="00000000" w:rsidRDefault="00000000" w:rsidRPr="00000000" w14:paraId="00000023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تأتي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مرفقة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بحزامين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أحدهما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جلد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العجل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الأزرق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الداكن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والثاني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المطاط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بالليزر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نحو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حاكي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الشهيرة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بلونها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البرتقالي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وملمسها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المحب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بنظام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لتبديل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الحزام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يسمح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بتغيير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بسيط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وسريع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للحزام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الضغط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السريع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الموجودين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الجانب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السفلي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 Tourbillon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علبة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استثنائي</w:t>
      </w:r>
    </w:p>
    <w:p w:rsidR="00000000" w:rsidDel="00000000" w:rsidP="00000000" w:rsidRDefault="00000000" w:rsidRPr="00000000" w14:paraId="00000027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تأتي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قائم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بذاته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B-Ball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تشيد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العلبة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بثقافة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وبفيلم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وتنفيذ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خذ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مصنوعة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الخشب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والألمنيوم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إحدى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عشرة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طبقة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خشبية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مسطحة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مركزي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لمنح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تأثير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مكن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حفظ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قلب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رفع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مستقيم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       </w:t>
      </w:r>
    </w:p>
    <w:p w:rsidR="00000000" w:rsidDel="00000000" w:rsidP="00000000" w:rsidRDefault="00000000" w:rsidRPr="00000000" w14:paraId="00000028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 Tourbillon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شخصي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Tune Squad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قاعدة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بانتظار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بدء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المباراة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مكن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فصلها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بعناية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قاعدتها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بدق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فائقة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مكن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لمقتنيها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يتخي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مصيره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كلاعب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     </w:t>
      </w:r>
    </w:p>
    <w:p w:rsidR="00000000" w:rsidDel="00000000" w:rsidP="00000000" w:rsidRDefault="00000000" w:rsidRPr="00000000" w14:paraId="0000002A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جديدة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يكشف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نوعه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نتجت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بإصدار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محدود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تأتي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صندوق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خشبي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خصيص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مرفقة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بالكتاب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بالمالك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شهادة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أصالة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ازين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لمناولة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</w:t>
      </w:r>
    </w:p>
    <w:p w:rsidR="00000000" w:rsidDel="00000000" w:rsidP="00000000" w:rsidRDefault="00000000" w:rsidRPr="00000000" w14:paraId="0000002C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***</w:t>
      </w:r>
    </w:p>
    <w:p w:rsidR="00000000" w:rsidDel="00000000" w:rsidP="00000000" w:rsidRDefault="00000000" w:rsidRPr="00000000" w14:paraId="0000002E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F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لمحة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Kross Studio</w:t>
      </w:r>
    </w:p>
    <w:p w:rsidR="00000000" w:rsidDel="00000000" w:rsidP="00000000" w:rsidRDefault="00000000" w:rsidRPr="00000000" w14:paraId="00000030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مصن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واستوديو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مقر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سويسرا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ويعود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تأسيسها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2020،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خمسة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رو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يتمت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منهم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بعقود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الخبرة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مستويات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الفخامة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تتخص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العلامة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السويسرية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إبداع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فنية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وحصري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الباحثين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أرقى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التحف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تشتهر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بعملي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وتتخطى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إنتاج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نعت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لتوفير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تجارب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بصرية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غامرة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لتضم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الأوسع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للفنون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والثقافة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المعاصرة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يتول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بالاستناد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مستويات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البراعة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والحرفية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لمزيد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زوروا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موقع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4"/>
            <w:szCs w:val="24"/>
            <w:u w:val="single"/>
            <w:rtl w:val="0"/>
          </w:rPr>
          <w:t xml:space="preserve">www.kross.studio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1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لمحة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Warner Bros. Consumer Products</w:t>
      </w:r>
    </w:p>
    <w:p w:rsidR="00000000" w:rsidDel="00000000" w:rsidP="00000000" w:rsidRDefault="00000000" w:rsidRPr="00000000" w14:paraId="00000033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Warner Bros. Consumer Products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WBCP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التابعة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لقسم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Warner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Bros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Global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Brands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Experiences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إيصال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العلامات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التجارية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وسلاسل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الأفلام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الترفيهية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الواسعة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للاستديوهات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حياة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المعجبين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أنحاء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WBCP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شراكات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الجهات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المرخ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الأفضل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فئاتها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يتعل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بتشكيلة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الألعاب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الأزياء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مواد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الديكور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المنزلي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والمنشورات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الحائزة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جوائز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المستوحاة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سلاسل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الأفلام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والعلامات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المملوكة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DC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Wizarding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World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Looney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Tunes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Hanna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Barbera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HBO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Cartoon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Network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Adult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Swim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وتشمل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الأعمال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الترفيهية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الناجحة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للقسم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تجارب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رائدة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نذكر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بينها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Wizarding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World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of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Harry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Potter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وارنر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براذرز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أبوظبي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نظر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تقد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مه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برامج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الترخيص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والتسويق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ومبادرات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البيع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بالتجزئة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والشراكات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الترويجية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والتجارب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المواضيع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نة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WBCP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مؤسسات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الترخيص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وتجارة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التجزئة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الرائدة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      </w:t>
      </w:r>
    </w:p>
    <w:p w:rsidR="00000000" w:rsidDel="00000000" w:rsidP="00000000" w:rsidRDefault="00000000" w:rsidRPr="00000000" w14:paraId="00000034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لمحة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أهل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بكم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عالمنا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!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يخوض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بطل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والنجم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العالمي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LeBron James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مغامرة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مذهلة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برفقة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شخصي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Bugs Bunny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الكلاسيكي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للمخرج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Malcolm D. Lee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الإنتاج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السينمائي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المبدع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يضم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Ryan Coogler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Maverick Carter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تتمث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التجربة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العظيمة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الأثر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مزيج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جنوني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عالمين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ظهر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الآباء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للتفاهم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أطفالهم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LeBron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وابنه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الصغير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للأسر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رقمي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ذكاء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اصطناعي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LeBron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عودتهما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المنزل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قيادة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Bugs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Lola Bunny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وكامل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Looney Tunes،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المعروفين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بقل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انضباطهم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الفوز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أبطال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الذكاء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الاصطناعي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بالصيغة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الرقمية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أرض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قائمة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ممتازة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نجوم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المحترفين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يسبق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لكم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رأيتموهم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التحد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الأكبر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حياته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متمثل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مباراة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Tunes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Goons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العلاقة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القائمة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LeBron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وابنه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وسيسل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الضوء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طبيعته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أعضاء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الـ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Tunes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بجاهزي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خالفوا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الأعراف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زوا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مواهبهم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الفريدة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وفاجأوا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الملك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James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خوض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المباراة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طريقتهم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37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يؤد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James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البطولة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جانب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Don Cheadle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Khris Davis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Sonequa Martin-Green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اللاعب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المبتدئ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Cedric Joe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Jeff Bergman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Eric Bauza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إخراج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السيناريو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Juel Taylor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Tony Rettenmaier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Keenan Coogler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Terence Nance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Jesse Gordon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Celeste Ballard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تأليف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Juel Taylor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Tony Rettenmaier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Keenan Coogler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Terence Nance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تستند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كتابة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Leo Benvenuti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Steve Rudnick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Timothy Harris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Herschel Weingrod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إنتاج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Ryan Coogler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LeBron James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Maverick Carter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Duncan Henderson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المنتجون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Sev Ohanian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Zinzi Coogler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Allison Abbate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Jesse Ehrman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Jamal Henderson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Spencer Beighley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Justin Lin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Terence Nance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Ivan Reitman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      </w:t>
      </w:r>
    </w:p>
    <w:p w:rsidR="00000000" w:rsidDel="00000000" w:rsidP="00000000" w:rsidRDefault="00000000" w:rsidRPr="00000000" w14:paraId="00000039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Warner Bros. Pictures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Space Jam: A New Legacy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إخراج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Malcolm D. Lee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وإنتاج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Proximity/The SpringHill Company Production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وستتول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Warner Bros. Pictures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توزيع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أنحاء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ذكر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بأن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عرضه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السينما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بدأ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16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يوليو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2021،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شبكة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إتش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ماكس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31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إطلاقه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السينما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3B">
      <w:pPr>
        <w:bidi w:val="1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spacing w:lin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المواصفات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</w:p>
    <w:p w:rsidR="00000000" w:rsidDel="00000000" w:rsidP="00000000" w:rsidRDefault="00000000" w:rsidRPr="00000000" w14:paraId="0000003E">
      <w:pPr>
        <w:bidi w:val="1"/>
        <w:spacing w:line="24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الساعة</w:t>
      </w:r>
    </w:p>
    <w:p w:rsidR="00000000" w:rsidDel="00000000" w:rsidP="00000000" w:rsidRDefault="00000000" w:rsidRPr="00000000" w14:paraId="00000040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13"/>
        <w:gridCol w:w="6206"/>
        <w:tblGridChange w:id="0">
          <w:tblGrid>
            <w:gridCol w:w="2813"/>
            <w:gridCol w:w="62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الموديل</w:t>
            </w:r>
          </w:p>
        </w:tc>
        <w:tc>
          <w:tcPr/>
          <w:p w:rsidR="00000000" w:rsidDel="00000000" w:rsidP="00000000" w:rsidRDefault="00000000" w:rsidRPr="00000000" w14:paraId="00000042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Space Jam Tourbillon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المرجعي</w:t>
            </w:r>
          </w:p>
        </w:tc>
        <w:tc>
          <w:tcPr/>
          <w:p w:rsidR="00000000" w:rsidDel="00000000" w:rsidP="00000000" w:rsidRDefault="00000000" w:rsidRPr="00000000" w14:paraId="00000044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SJBBT21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إصدار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محدود</w:t>
            </w:r>
          </w:p>
        </w:tc>
        <w:tc>
          <w:tcPr/>
          <w:p w:rsidR="00000000" w:rsidDel="00000000" w:rsidP="00000000" w:rsidRDefault="00000000" w:rsidRPr="00000000" w14:paraId="00000046">
            <w:pPr>
              <w:bidi w:val="1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10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قطع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الكفالة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الدولي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ة</w:t>
            </w:r>
          </w:p>
        </w:tc>
        <w:tc>
          <w:tcPr/>
          <w:p w:rsidR="00000000" w:rsidDel="00000000" w:rsidP="00000000" w:rsidRDefault="00000000" w:rsidRPr="00000000" w14:paraId="00000048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2 + 3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سنوات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الأجزاء</w:t>
            </w:r>
          </w:p>
        </w:tc>
        <w:tc>
          <w:tcPr/>
          <w:p w:rsidR="00000000" w:rsidDel="00000000" w:rsidP="00000000" w:rsidRDefault="00000000" w:rsidRPr="00000000" w14:paraId="0000004A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281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العلبة</w:t>
            </w:r>
          </w:p>
        </w:tc>
        <w:tc>
          <w:tcPr/>
          <w:p w:rsidR="00000000" w:rsidDel="00000000" w:rsidP="00000000" w:rsidRDefault="00000000" w:rsidRPr="00000000" w14:paraId="0000004C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تيتانيوم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5</w:t>
            </w:r>
          </w:p>
          <w:p w:rsidR="00000000" w:rsidDel="00000000" w:rsidP="00000000" w:rsidRDefault="00000000" w:rsidRPr="00000000" w14:paraId="0000004D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كريستال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صفير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مضاد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للانعكاس</w:t>
            </w:r>
          </w:p>
          <w:p w:rsidR="00000000" w:rsidDel="00000000" w:rsidP="00000000" w:rsidRDefault="00000000" w:rsidRPr="00000000" w14:paraId="0000004E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زر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ضاغط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قشت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عبارة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Time Set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ضبط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القطر</w:t>
            </w:r>
          </w:p>
        </w:tc>
        <w:tc>
          <w:tcPr/>
          <w:p w:rsidR="00000000" w:rsidDel="00000000" w:rsidP="00000000" w:rsidRDefault="00000000" w:rsidRPr="00000000" w14:paraId="00000054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45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السماكة</w:t>
            </w:r>
          </w:p>
        </w:tc>
        <w:tc>
          <w:tcPr/>
          <w:p w:rsidR="00000000" w:rsidDel="00000000" w:rsidP="00000000" w:rsidRDefault="00000000" w:rsidRPr="00000000" w14:paraId="00000056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السماكة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بدون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الكريستال</w:t>
            </w:r>
          </w:p>
        </w:tc>
        <w:tc>
          <w:tcPr/>
          <w:p w:rsidR="00000000" w:rsidDel="00000000" w:rsidP="00000000" w:rsidRDefault="00000000" w:rsidRPr="00000000" w14:paraId="00000058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12.5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مقاومة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الماء</w:t>
            </w:r>
          </w:p>
        </w:tc>
        <w:tc>
          <w:tcPr/>
          <w:p w:rsidR="00000000" w:rsidDel="00000000" w:rsidP="00000000" w:rsidRDefault="00000000" w:rsidRPr="00000000" w14:paraId="0000005C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30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متر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وحدات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ضغط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ظهر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العلبة</w:t>
            </w:r>
          </w:p>
        </w:tc>
        <w:tc>
          <w:tcPr/>
          <w:p w:rsidR="00000000" w:rsidDel="00000000" w:rsidP="00000000" w:rsidRDefault="00000000" w:rsidRPr="00000000" w14:paraId="00000060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تيتانيوم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5</w:t>
            </w:r>
          </w:p>
          <w:p w:rsidR="00000000" w:rsidDel="00000000" w:rsidP="00000000" w:rsidRDefault="00000000" w:rsidRPr="00000000" w14:paraId="00000061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4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قطع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كريستال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الصفير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المضاد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للانعكاس</w:t>
            </w:r>
          </w:p>
          <w:p w:rsidR="00000000" w:rsidDel="00000000" w:rsidP="00000000" w:rsidRDefault="00000000" w:rsidRPr="00000000" w14:paraId="00000062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كحلقة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لضبط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وتعبئة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الساعة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المعيار</w:t>
            </w:r>
          </w:p>
        </w:tc>
        <w:tc>
          <w:tcPr/>
          <w:p w:rsidR="00000000" w:rsidDel="00000000" w:rsidP="00000000" w:rsidRDefault="00000000" w:rsidRPr="00000000" w14:paraId="00000066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KS 7’000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الوظائف</w:t>
            </w:r>
          </w:p>
        </w:tc>
        <w:tc>
          <w:tcPr/>
          <w:p w:rsidR="00000000" w:rsidDel="00000000" w:rsidP="00000000" w:rsidRDefault="00000000" w:rsidRPr="00000000" w14:paraId="00000068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توربي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مركزي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يدوي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التعبئة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A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21600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ذبذبة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الساعة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/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هرتز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الجواهر</w:t>
            </w:r>
          </w:p>
        </w:tc>
        <w:tc>
          <w:tcPr/>
          <w:p w:rsidR="00000000" w:rsidDel="00000000" w:rsidP="00000000" w:rsidRDefault="00000000" w:rsidRPr="00000000" w14:paraId="0000006C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أجزاء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الحركة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E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203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احتياطي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الطاقة</w:t>
            </w:r>
          </w:p>
        </w:tc>
        <w:tc>
          <w:tcPr/>
          <w:p w:rsidR="00000000" w:rsidDel="00000000" w:rsidP="00000000" w:rsidRDefault="00000000" w:rsidRPr="00000000" w14:paraId="00000070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5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أيام</w:t>
            </w:r>
          </w:p>
        </w:tc>
      </w:tr>
    </w:tbl>
    <w:p w:rsidR="00000000" w:rsidDel="00000000" w:rsidP="00000000" w:rsidRDefault="00000000" w:rsidRPr="00000000" w14:paraId="00000071">
      <w:pPr>
        <w:bidi w:val="1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bidi w:val="1"/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حزامان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قابلان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للتبديل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حزام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جلد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العجل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الأزرق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درزات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بطانة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مطاطية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سوداء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حزام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المطاط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المنحوت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بالليزر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درزات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بطانة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مطاطية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سوداء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قفل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قابل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للطي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التيتانيوم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الدرجة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5    </w:t>
      </w:r>
    </w:p>
    <w:p w:rsidR="00000000" w:rsidDel="00000000" w:rsidP="00000000" w:rsidRDefault="00000000" w:rsidRPr="00000000" w14:paraId="00000076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bidi w:val="1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كرة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BALL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STUDIO</w:t>
      </w:r>
    </w:p>
    <w:p w:rsidR="00000000" w:rsidDel="00000000" w:rsidP="00000000" w:rsidRDefault="00000000" w:rsidRPr="00000000" w14:paraId="00000078">
      <w:pPr>
        <w:bidi w:val="1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الأبعاد</w:t>
      </w:r>
    </w:p>
    <w:p w:rsidR="00000000" w:rsidDel="00000000" w:rsidP="00000000" w:rsidRDefault="00000000" w:rsidRPr="00000000" w14:paraId="00000079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الارتفاع</w:t>
      </w:r>
    </w:p>
    <w:tbl>
      <w:tblPr>
        <w:tblStyle w:val="Table2"/>
        <w:bidiVisual w:val="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13"/>
        <w:gridCol w:w="6206"/>
        <w:tblGridChange w:id="0">
          <w:tblGrid>
            <w:gridCol w:w="2813"/>
            <w:gridCol w:w="62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مغلقة</w:t>
            </w:r>
          </w:p>
        </w:tc>
        <w:tc>
          <w:tcPr/>
          <w:p w:rsidR="00000000" w:rsidDel="00000000" w:rsidP="00000000" w:rsidRDefault="00000000" w:rsidRPr="00000000" w14:paraId="0000007B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333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مفتوحة</w:t>
            </w:r>
          </w:p>
        </w:tc>
        <w:tc>
          <w:tcPr/>
          <w:p w:rsidR="00000000" w:rsidDel="00000000" w:rsidP="00000000" w:rsidRDefault="00000000" w:rsidRPr="00000000" w14:paraId="0000007D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440.5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</w:tbl>
    <w:p w:rsidR="00000000" w:rsidDel="00000000" w:rsidP="00000000" w:rsidRDefault="00000000" w:rsidRPr="00000000" w14:paraId="0000007E">
      <w:pPr>
        <w:bidi w:val="1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القطر</w:t>
      </w:r>
    </w:p>
    <w:tbl>
      <w:tblPr>
        <w:tblStyle w:val="Table3"/>
        <w:bidiVisual w:val="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13"/>
        <w:gridCol w:w="6206"/>
        <w:tblGridChange w:id="0">
          <w:tblGrid>
            <w:gridCol w:w="2813"/>
            <w:gridCol w:w="62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1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highlight w:val="white"/>
                <w:rtl w:val="0"/>
              </w:rPr>
              <w:t xml:space="preserve">Ø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260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القاعدة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3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highlight w:val="white"/>
                <w:rtl w:val="0"/>
              </w:rPr>
              <w:t xml:space="preserve">Ø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253.7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</w:t>
            </w:r>
          </w:p>
        </w:tc>
      </w:tr>
    </w:tbl>
    <w:p w:rsidR="00000000" w:rsidDel="00000000" w:rsidP="00000000" w:rsidRDefault="00000000" w:rsidRPr="00000000" w14:paraId="00000084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13"/>
        <w:gridCol w:w="6206"/>
        <w:tblGridChange w:id="0">
          <w:tblGrid>
            <w:gridCol w:w="2813"/>
            <w:gridCol w:w="62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bidi w:val="1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الوزن</w:t>
            </w:r>
          </w:p>
        </w:tc>
        <w:tc>
          <w:tcPr/>
          <w:p w:rsidR="00000000" w:rsidDel="00000000" w:rsidP="00000000" w:rsidRDefault="00000000" w:rsidRPr="00000000" w14:paraId="00000086">
            <w:pPr>
              <w:bidi w:val="1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6.5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كغ</w:t>
            </w:r>
          </w:p>
        </w:tc>
      </w:tr>
    </w:tbl>
    <w:p w:rsidR="00000000" w:rsidDel="00000000" w:rsidP="00000000" w:rsidRDefault="00000000" w:rsidRPr="00000000" w14:paraId="00000087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bidi w:val="1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المواد</w:t>
      </w:r>
    </w:p>
    <w:p w:rsidR="00000000" w:rsidDel="00000000" w:rsidP="00000000" w:rsidRDefault="00000000" w:rsidRPr="00000000" w14:paraId="00000089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خشب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سنديان</w:t>
      </w:r>
    </w:p>
    <w:p w:rsidR="00000000" w:rsidDel="00000000" w:rsidP="00000000" w:rsidRDefault="00000000" w:rsidRPr="00000000" w14:paraId="0000008A">
      <w:pPr>
        <w:bidi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ألمنيوم</w:t>
      </w:r>
    </w:p>
    <w:sectPr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spacing w:after="160" w:line="259" w:lineRule="auto"/>
      <w:jc w:val="center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Kross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Studio </w:t>
    </w:r>
    <w:hyperlink r:id="rId1">
      <w:r w:rsidDel="00000000" w:rsidR="00000000" w:rsidRPr="00000000">
        <w:rPr>
          <w:rFonts w:ascii="Open Sans" w:cs="Open Sans" w:eastAsia="Open Sans" w:hAnsi="Open Sans"/>
          <w:color w:val="111111"/>
          <w:sz w:val="16"/>
          <w:szCs w:val="16"/>
          <w:highlight w:val="white"/>
          <w:rtl w:val="0"/>
        </w:rPr>
        <w:t xml:space="preserve">| </w:t>
      </w:r>
    </w:hyperlink>
    <w:hyperlink r:id="rId2">
      <w:r w:rsidDel="00000000" w:rsidR="00000000" w:rsidRPr="00000000">
        <w:rPr>
          <w:rFonts w:ascii="Open Sans" w:cs="Open Sans" w:eastAsia="Open Sans" w:hAnsi="Open Sans"/>
          <w:color w:val="1155cc"/>
          <w:sz w:val="16"/>
          <w:szCs w:val="16"/>
          <w:highlight w:val="white"/>
          <w:u w:val="single"/>
          <w:rtl w:val="0"/>
        </w:rPr>
        <w:t xml:space="preserve">media@kross.studio</w:t>
      </w:r>
    </w:hyperlink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 |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+ 41 22 364 14 14 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| Route des Avouillons 8, 1196 Gland, Switzerland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 w:val="1"/>
    <w:unhideWhenUsed w:val="1"/>
    <w:rsid w:val="006E57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fr-CH"/>
    </w:rPr>
  </w:style>
  <w:style w:type="character" w:styleId="gmaildefault" w:customStyle="1">
    <w:name w:val="gmail_default"/>
    <w:basedOn w:val="Policepardfaut"/>
    <w:rsid w:val="00613F71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38095A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38095A"/>
    <w:rPr>
      <w:rFonts w:ascii="Segoe UI" w:cs="Segoe UI" w:hAnsi="Segoe UI"/>
      <w:sz w:val="18"/>
      <w:szCs w:val="18"/>
    </w:rPr>
  </w:style>
  <w:style w:type="character" w:styleId="Lienhypertexte">
    <w:name w:val="Hyperlink"/>
    <w:basedOn w:val="Policepardfaut"/>
    <w:uiPriority w:val="99"/>
    <w:unhideWhenUsed w:val="1"/>
    <w:rsid w:val="004126D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4126DD"/>
    <w:rPr>
      <w:color w:val="605e5c"/>
      <w:shd w:color="auto" w:fill="e1dfdd" w:val="clear"/>
    </w:rPr>
  </w:style>
  <w:style w:type="table" w:styleId="Grilledutableau">
    <w:name w:val="Table Grid"/>
    <w:basedOn w:val="TableauNormal"/>
    <w:uiPriority w:val="39"/>
    <w:rsid w:val="00157AF1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edeliste">
    <w:name w:val="List Paragraph"/>
    <w:basedOn w:val="Normal"/>
    <w:uiPriority w:val="34"/>
    <w:qFormat w:val="1"/>
    <w:rsid w:val="00192239"/>
    <w:pPr>
      <w:ind w:left="720"/>
      <w:contextualSpacing w:val="1"/>
    </w:pPr>
  </w:style>
  <w:style w:type="paragraph" w:styleId="En-tte">
    <w:name w:val="header"/>
    <w:basedOn w:val="Normal"/>
    <w:link w:val="En-tteCar"/>
    <w:uiPriority w:val="99"/>
    <w:unhideWhenUsed w:val="1"/>
    <w:rsid w:val="00CE556E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E556E"/>
  </w:style>
  <w:style w:type="paragraph" w:styleId="Pieddepage">
    <w:name w:val="footer"/>
    <w:basedOn w:val="Normal"/>
    <w:link w:val="PieddepageCar"/>
    <w:uiPriority w:val="99"/>
    <w:unhideWhenUsed w:val="1"/>
    <w:rsid w:val="00CE556E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E556E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://www.kross.studi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about:blank" TargetMode="External"/><Relationship Id="rId2" Type="http://schemas.openxmlformats.org/officeDocument/2006/relationships/hyperlink" Target="mailto:media@kross.studio" TargetMode="External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eQtit6M+fat8HMzT6uEIG/dJcw==">AMUW2mW8clCmHjo5SLLv6S4+KgP77Zg9w59ExtV9PR2tDqlvWO4cQytDJgXi3m3dNQ/XF7BYvArfOMMbXIbDuz4BcoEL2dgom9luubb4LBmtmHZB3W3NC9C+4qjDtGCsuLZJImNkDePk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2021-06-22T08:52:00Z</dcterms:created>
</cp:coreProperties>
</file>