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spacing w:before="240" w:lineRule="auto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Open Sans" w:cs="Open Sans" w:eastAsia="Open Sans" w:hAnsi="Open Sans"/>
          <w:sz w:val="28"/>
          <w:szCs w:val="28"/>
        </w:rPr>
        <w:drawing>
          <wp:inline distB="114300" distT="114300" distL="114300" distR="114300">
            <wp:extent cx="4030500" cy="763012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30500" cy="7630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Open Sans" w:cs="Open Sans" w:eastAsia="Open Sans" w:hAnsi="Open Sans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before="240" w:lineRule="auto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spacing w:before="240" w:lineRule="auto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KROSS STUDIO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تكشف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جهاز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جديد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لتعبئة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الساعات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وحي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أجواء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سلسلة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أفلام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STAR WARS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superscript"/>
          <w:rtl w:val="0"/>
        </w:rPr>
        <w:t xml:space="preserve">TM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لهواة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جمع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القطع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الممي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زة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  </w:t>
      </w:r>
    </w:p>
    <w:p w:rsidR="00000000" w:rsidDel="00000000" w:rsidP="00000000" w:rsidRDefault="00000000" w:rsidRPr="00000000" w14:paraId="00000004">
      <w:pPr>
        <w:bidi w:val="1"/>
        <w:spacing w:before="240" w:lineRule="auto"/>
        <w:jc w:val="center"/>
        <w:rPr>
          <w:rFonts w:ascii="Calibri" w:cs="Calibri" w:eastAsia="Calibri" w:hAnsi="Calibri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وقد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است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لهم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تصميم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جهاز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تعبئة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الساعات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العامل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بتقني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البلوتوث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يت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خذ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شكل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منحوتة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عملي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تصميم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المقاتلة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النجمي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TIE ADVANCED X1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لدارث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فيدر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  </w:t>
      </w:r>
    </w:p>
    <w:p w:rsidR="00000000" w:rsidDel="00000000" w:rsidP="00000000" w:rsidRDefault="00000000" w:rsidRPr="00000000" w14:paraId="00000005">
      <w:pPr>
        <w:bidi w:val="1"/>
        <w:spacing w:befor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فصل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الربيع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الماضي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أحدثت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 Studio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ثورة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عالم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صناعة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عبر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ابتكار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طقم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رائع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مخص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لهواة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الجمع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يشيد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بمحط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الفضاء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الشهيرة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Death Star</w:t>
      </w:r>
      <w:r w:rsidDel="00000000" w:rsidR="00000000" w:rsidRPr="00000000">
        <w:rPr>
          <w:rFonts w:ascii="Calibri" w:cs="Calibri" w:eastAsia="Calibri" w:hAnsi="Calibri"/>
          <w:sz w:val="24"/>
          <w:szCs w:val="24"/>
          <w:vertAlign w:val="superscript"/>
          <w:rtl w:val="0"/>
        </w:rPr>
        <w:t xml:space="preserve">TM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ويضم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بصورة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خاص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مبتكرة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بتوربي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مركزي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وقطعة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highlight w:val="white"/>
          <w:rtl w:val="0"/>
        </w:rPr>
        <w:t xml:space="preserve">Kyber Crystal™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است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خدمت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highlight w:val="white"/>
          <w:rtl w:val="0"/>
        </w:rPr>
        <w:t xml:space="preserve">Rogue One: A Star Wars Story ™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وقد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وقطعة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كريستال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كايبر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المستخدمة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الفيلم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داخل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قطعة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فني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عملي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بطول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1.2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متر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مصم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الصندوق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الفخم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المخص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لنقل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كريستال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كايبر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واليوم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تكشف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 Studio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بالتعاون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شركة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highlight w:val="white"/>
          <w:rtl w:val="0"/>
        </w:rPr>
        <w:t xml:space="preserve">Lucasfilm Ltd.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فصل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جديد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متمث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جهاز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لتعبئة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وحي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سلسلة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أفلام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حرب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النجوم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06">
      <w:pPr>
        <w:bidi w:val="1"/>
        <w:spacing w:befor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إحداثها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تحو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جذري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عالم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وساعات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اليد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ابتكاراتها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الآسرة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لمسات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الشركة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السويسرية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الناشئة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تمتد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لتشمل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جهاز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تعبئة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استمد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الشركة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جديدة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الإلهام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حضور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دارث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فيدر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القوي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لإبداع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المنحوتة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المخص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صة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لتعبئة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والشبيهة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بالمقاتلة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النجمي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TIE Advanced x1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وقد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طرحتها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بإصدار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محدود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  </w:t>
      </w:r>
    </w:p>
    <w:p w:rsidR="00000000" w:rsidDel="00000000" w:rsidP="00000000" w:rsidRDefault="00000000" w:rsidRPr="00000000" w14:paraId="00000007">
      <w:pPr>
        <w:bidi w:val="1"/>
        <w:spacing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قطعة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عملي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تمام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</w:t>
      </w:r>
    </w:p>
    <w:p w:rsidR="00000000" w:rsidDel="00000000" w:rsidP="00000000" w:rsidRDefault="00000000" w:rsidRPr="00000000" w14:paraId="00000008">
      <w:pPr>
        <w:bidi w:val="1"/>
        <w:spacing w:befor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يتمي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جهاز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تعبئة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تصميم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الاستوديو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بكونه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قطعة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فني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عملي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تمام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حيث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دمج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محر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التعبئة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منحوتة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الألمنيوم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الصلب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مستوحاة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مباشرة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تصميم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المقاتلة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النجمي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TIE Advanced x1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يتول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دارث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فيدر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نفسه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قيادتها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فيلم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highlight w:val="white"/>
          <w:rtl w:val="0"/>
        </w:rPr>
        <w:t xml:space="preserve">Star Wars: A New Hope™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.    </w:t>
      </w:r>
    </w:p>
    <w:p w:rsidR="00000000" w:rsidDel="00000000" w:rsidP="00000000" w:rsidRDefault="00000000" w:rsidRPr="00000000" w14:paraId="00000009">
      <w:pPr>
        <w:bidi w:val="1"/>
        <w:spacing w:befor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جهاز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تعبئة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المستوحى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TIE Advanced x1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الألمنيوم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المؤكسد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الأسود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الصلب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وهو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مشغول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بالكامل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بالمكنات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اللمسات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النهائية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فنف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ذت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يدوي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وتم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تجميعه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مشاغل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الشركة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يشهد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المهارات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الهندسية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والتصنيعية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المتفو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تتمت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 Studio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يبلغ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طول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المنحوتة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20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سنتم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وعرضها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28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سنتم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ارتفاعها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فهو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17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سنتم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ووزنها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الإجمالي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4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كغ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      </w:t>
      </w:r>
    </w:p>
    <w:p w:rsidR="00000000" w:rsidDel="00000000" w:rsidP="00000000" w:rsidRDefault="00000000" w:rsidRPr="00000000" w14:paraId="0000000A">
      <w:pPr>
        <w:bidi w:val="1"/>
        <w:spacing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"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أنت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تعرف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قوة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الجانب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المظلم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"</w:t>
      </w:r>
    </w:p>
    <w:p w:rsidR="00000000" w:rsidDel="00000000" w:rsidP="00000000" w:rsidRDefault="00000000" w:rsidRPr="00000000" w14:paraId="0000000B">
      <w:pPr>
        <w:bidi w:val="1"/>
        <w:spacing w:befor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بطبيعة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الحال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سخ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جهاز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تعبئة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حركته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الممي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زة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لتشغيل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آلي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ميكانيكي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أوتوماتيكي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توضع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داخل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الحجيرة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المخصصة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لذلك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الابتكارات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الذكية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جهاز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تعبئة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المنحوتة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المستوحاة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TIE Advanced x1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Kross Studio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تزويده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بمستشعر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بالأشعة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تحت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الحمراء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يكتشف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وجود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ويشغ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بالتالي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جهاز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التعبئة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عمر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البط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اري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أكثر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سنتين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وعندما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الحجيرة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ساعة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يبقى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الجهاز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وضع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الاستعداد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للمحافظة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الطاقة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0C">
      <w:pPr>
        <w:bidi w:val="1"/>
        <w:spacing w:befor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لقد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صم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 Studio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التحفة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الفني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وجهاز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تعبئة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TIE Advanced x1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لتقديم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قطعة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رائعة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وأعلى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مستوى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الأداء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وتتيح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واجهة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الجهاز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العاملة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بالبلوتوث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للمستخدم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إمكاني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الوصول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بارامتراتها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تطبيق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للهواتف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الذكية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متوف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متجر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َ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التطبيقات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App Store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Google Play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بهذه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الطريقة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يتمك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المستخدم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تحديد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الإعدادات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المثلى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لموديل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ساعته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الأوتوماتيكية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عبر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ضبط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اتجاه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الدوران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وقت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الدوران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والتحك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الحمل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يأتي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جهاز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تعبئة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مرفق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بمفتاح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مصم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شكل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رمز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إمبراطوري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المجر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لاستبدال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البطاري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0D">
      <w:pPr>
        <w:bidi w:val="1"/>
        <w:spacing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لكن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التشكيلة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الراقية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التحف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الفني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المخص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صة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لهواة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الجمع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تكون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متوف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رة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دائم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أجهزة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تعبئة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الساعات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است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لهم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تصميمها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TIE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Advanced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x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1 (2500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دولار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أمريكي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للقطعة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متاحة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للشراء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موقع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الشركة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studio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com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ولدى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مجموعة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مختارة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تجار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التجزئة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المعتمدين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Studio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لفترة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محدودة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فقط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spacing w:befor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***</w:t>
      </w:r>
    </w:p>
    <w:p w:rsidR="00000000" w:rsidDel="00000000" w:rsidP="00000000" w:rsidRDefault="00000000" w:rsidRPr="00000000" w14:paraId="0000000F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KROSS STUDIO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شركة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مصن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واستوديو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تصميم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يقع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مقر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ها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سويسرا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ويعود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تأسيسها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عام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2020،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يد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مجموعة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خمسة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رو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أعمال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يتمت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منهم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بعقود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الخبرة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أعلى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مستويات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الفخامة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والتصميم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تتخص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ص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العلامة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السويسرية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إبداع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قطع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فنية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مبتكرة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وحصري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لهواة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الجمع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الباحثين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أرقى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التحف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تشتهر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شركة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Studio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بعملي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التعاون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المبتكرة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تقوم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وتتخطى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قطعة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إنتاج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Studio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المواد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ص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نعت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منها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لتوفير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تجارب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بصرية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غامرة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سع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لتضم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كذلك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العالم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الأوسع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للفنون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والثقافة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المعاصرة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تتول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Kross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Studio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تصميم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ّ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قطعة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وتصنيعها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بالكامل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بالاستناد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أعلى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مستويات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الخبرة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والبراعة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الحرفية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لمزيد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زوروا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موقع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hyperlink r:id="rId8">
        <w:r w:rsidDel="00000000" w:rsidR="00000000" w:rsidRPr="00000000">
          <w:rPr>
            <w:rFonts w:ascii="Calibri" w:cs="Calibri" w:eastAsia="Calibri" w:hAnsi="Calibri"/>
            <w:color w:val="0000ff"/>
            <w:sz w:val="24"/>
            <w:szCs w:val="24"/>
            <w:u w:val="single"/>
            <w:rtl w:val="0"/>
          </w:rPr>
          <w:t xml:space="preserve">www.kross.studio</w:t>
        </w:r>
      </w:hyperlink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10">
      <w:pPr>
        <w:bidi w:val="1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STAR WARS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وما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يتعل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ممتلكات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هي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علامات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تجاري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/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حقوق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نشر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الولايات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المت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حدة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والبلدان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الأخرى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لشركة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Lucasfilm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Ltd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المحدودة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/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الشركات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التابعة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لها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© &amp; TM Lucasfilm Ltd.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3">
      <w:pPr>
        <w:bidi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المواصفات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الفني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ة</w:t>
      </w:r>
    </w:p>
    <w:p w:rsidR="00000000" w:rsidDel="00000000" w:rsidP="00000000" w:rsidRDefault="00000000" w:rsidRPr="00000000" w14:paraId="00000015">
      <w:pPr>
        <w:bidi w:val="1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8856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769"/>
        <w:gridCol w:w="3043"/>
        <w:gridCol w:w="3044"/>
        <w:tblGridChange w:id="0">
          <w:tblGrid>
            <w:gridCol w:w="2769"/>
            <w:gridCol w:w="3043"/>
            <w:gridCol w:w="304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الموديل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7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TIE Advanced x1 Watch Winder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A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الرقم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المرجعي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D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SWTAW21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0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عدد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الأجزاء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3">
            <w:pPr>
              <w:bidi w:val="1"/>
              <w:jc w:val="both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19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6">
            <w:pPr>
              <w:bidi w:val="1"/>
              <w:jc w:val="both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الماد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ة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9">
            <w:pPr>
              <w:bidi w:val="1"/>
              <w:jc w:val="both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الألمنيوم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الأسود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المؤكسد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C">
            <w:pPr>
              <w:bidi w:val="1"/>
              <w:jc w:val="both"/>
              <w:rPr>
                <w:rFonts w:ascii="Calibri" w:cs="Calibri" w:eastAsia="Calibri" w:hAnsi="Calibri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كفالة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دولي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ة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F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سنتان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+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تمديد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الكفالة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لمد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3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سنوات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عند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تسجيل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المنتج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موقعنا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الإلكتروني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2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4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1"/>
              </w:rPr>
              <w:t xml:space="preserve">جهاز</w:t>
            </w: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1"/>
              </w:rPr>
              <w:t xml:space="preserve">التعبئة</w:t>
            </w: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1"/>
              </w:rPr>
              <w:t xml:space="preserve">الدو</w:t>
            </w: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1"/>
              </w:rPr>
              <w:t xml:space="preserve">ار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الطاقة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8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4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بطاري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ليثيوم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قلوية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AA 1.5 (LR6)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مرفقة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بالجهاز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B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سرعة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الدوران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E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13.6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لف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ّ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الدقيقة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الإعداد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4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مسبق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الإعداد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7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1"/>
              </w:rPr>
              <w:t xml:space="preserve">الأبعاد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1"/>
              </w:rPr>
              <w:t xml:space="preserve">والوزن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A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D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الطول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200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مم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(7.9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إنش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)</w:t>
            </w:r>
          </w:p>
        </w:tc>
        <w:tc>
          <w:tcPr/>
          <w:p w:rsidR="00000000" w:rsidDel="00000000" w:rsidP="00000000" w:rsidRDefault="00000000" w:rsidRPr="00000000" w14:paraId="00000051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العرض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275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مم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(10.8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إنش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الارتفاع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173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مم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(6.8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إنش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bidi w:val="1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الوزن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4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كغ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 (8.8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باوند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bidi w:val="1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bidi w:val="1"/>
        <w:spacing w:befor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bidi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spacing w:after="160" w:line="259" w:lineRule="auto"/>
      <w:jc w:val="center"/>
      <w:rPr>
        <w:rFonts w:ascii="Open Sans" w:cs="Open Sans" w:eastAsia="Open Sans" w:hAnsi="Open Sans"/>
        <w:sz w:val="18"/>
        <w:szCs w:val="18"/>
      </w:rPr>
    </w:pPr>
    <w:r w:rsidDel="00000000" w:rsidR="00000000" w:rsidRPr="00000000">
      <w:rPr>
        <w:rFonts w:ascii="Open Sans" w:cs="Open Sans" w:eastAsia="Open Sans" w:hAnsi="Open Sans"/>
        <w:sz w:val="16"/>
        <w:szCs w:val="16"/>
        <w:rtl w:val="0"/>
      </w:rPr>
      <w:t xml:space="preserve">Kross </w:t>
    </w:r>
    <w:r w:rsidDel="00000000" w:rsidR="00000000" w:rsidRPr="00000000">
      <w:rPr>
        <w:rFonts w:ascii="Open Sans" w:cs="Open Sans" w:eastAsia="Open Sans" w:hAnsi="Open Sans"/>
        <w:color w:val="111111"/>
        <w:sz w:val="16"/>
        <w:szCs w:val="16"/>
        <w:highlight w:val="white"/>
        <w:rtl w:val="0"/>
      </w:rPr>
      <w:t xml:space="preserve">Studio </w:t>
    </w:r>
    <w:hyperlink r:id="rId1">
      <w:r w:rsidDel="00000000" w:rsidR="00000000" w:rsidRPr="00000000">
        <w:rPr>
          <w:rFonts w:ascii="Open Sans" w:cs="Open Sans" w:eastAsia="Open Sans" w:hAnsi="Open Sans"/>
          <w:color w:val="111111"/>
          <w:sz w:val="16"/>
          <w:szCs w:val="16"/>
          <w:highlight w:val="white"/>
          <w:rtl w:val="0"/>
        </w:rPr>
        <w:t xml:space="preserve">| </w:t>
      </w:r>
    </w:hyperlink>
    <w:hyperlink r:id="rId2">
      <w:r w:rsidDel="00000000" w:rsidR="00000000" w:rsidRPr="00000000">
        <w:rPr>
          <w:rFonts w:ascii="Open Sans" w:cs="Open Sans" w:eastAsia="Open Sans" w:hAnsi="Open Sans"/>
          <w:color w:val="1155cc"/>
          <w:sz w:val="16"/>
          <w:szCs w:val="16"/>
          <w:highlight w:val="white"/>
          <w:u w:val="single"/>
          <w:rtl w:val="0"/>
        </w:rPr>
        <w:t xml:space="preserve">media@kross.studio</w:t>
      </w:r>
    </w:hyperlink>
    <w:r w:rsidDel="00000000" w:rsidR="00000000" w:rsidRPr="00000000">
      <w:rPr>
        <w:rFonts w:ascii="Open Sans" w:cs="Open Sans" w:eastAsia="Open Sans" w:hAnsi="Open Sans"/>
        <w:color w:val="111111"/>
        <w:sz w:val="16"/>
        <w:szCs w:val="16"/>
        <w:highlight w:val="white"/>
        <w:rtl w:val="0"/>
      </w:rPr>
      <w:t xml:space="preserve"> |</w:t>
    </w:r>
    <w:r w:rsidDel="00000000" w:rsidR="00000000" w:rsidRPr="00000000">
      <w:rPr>
        <w:rFonts w:ascii="Open Sans" w:cs="Open Sans" w:eastAsia="Open Sans" w:hAnsi="Open Sans"/>
        <w:sz w:val="16"/>
        <w:szCs w:val="16"/>
        <w:rtl w:val="0"/>
      </w:rPr>
      <w:t xml:space="preserve"> </w:t>
    </w:r>
    <w:r w:rsidDel="00000000" w:rsidR="00000000" w:rsidRPr="00000000">
      <w:rPr>
        <w:rFonts w:ascii="Open Sans" w:cs="Open Sans" w:eastAsia="Open Sans" w:hAnsi="Open Sans"/>
        <w:color w:val="111111"/>
        <w:sz w:val="16"/>
        <w:szCs w:val="16"/>
        <w:highlight w:val="white"/>
        <w:rtl w:val="0"/>
      </w:rPr>
      <w:t xml:space="preserve">+ 41 22 364 14 14 </w:t>
    </w:r>
    <w:r w:rsidDel="00000000" w:rsidR="00000000" w:rsidRPr="00000000">
      <w:rPr>
        <w:rFonts w:ascii="Open Sans" w:cs="Open Sans" w:eastAsia="Open Sans" w:hAnsi="Open Sans"/>
        <w:sz w:val="16"/>
        <w:szCs w:val="16"/>
        <w:rtl w:val="0"/>
      </w:rPr>
      <w:t xml:space="preserve">| Route des Avouillons 8, 1196 Gland, Switzerland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-126999</wp:posOffset>
              </wp:positionH>
              <wp:positionV relativeFrom="paragraph">
                <wp:posOffset>-215899</wp:posOffset>
              </wp:positionV>
              <wp:extent cx="6035040" cy="12700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328480" y="3780000"/>
                        <a:ext cx="603504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chemeClr val="dk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-126999</wp:posOffset>
              </wp:positionH>
              <wp:positionV relativeFrom="paragraph">
                <wp:posOffset>-215899</wp:posOffset>
              </wp:positionV>
              <wp:extent cx="6035040" cy="12700"/>
              <wp:effectExtent b="0" l="0" r="0" t="0"/>
              <wp:wrapNone/>
              <wp:docPr id="3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3504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-126999</wp:posOffset>
              </wp:positionH>
              <wp:positionV relativeFrom="paragraph">
                <wp:posOffset>-215899</wp:posOffset>
              </wp:positionV>
              <wp:extent cx="6035040" cy="12700"/>
              <wp:effectExtent b="0" l="0" r="0" t="0"/>
              <wp:wrapNone/>
              <wp:docPr id="4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328480" y="3780000"/>
                        <a:ext cx="603504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chemeClr val="dk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-126999</wp:posOffset>
              </wp:positionH>
              <wp:positionV relativeFrom="paragraph">
                <wp:posOffset>-215899</wp:posOffset>
              </wp:positionV>
              <wp:extent cx="6035040" cy="12700"/>
              <wp:effectExtent b="0" l="0" r="0" t="0"/>
              <wp:wrapNone/>
              <wp:docPr id="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3504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itre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paragraph" w:styleId="Titr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character" w:styleId="Lienhypertexte">
    <w:name w:val="Hyperlink"/>
    <w:basedOn w:val="Policepardfaut"/>
    <w:uiPriority w:val="99"/>
    <w:unhideWhenUsed w:val="1"/>
    <w:rsid w:val="00E220B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39"/>
    <w:rsid w:val="00F41220"/>
    <w:pPr>
      <w:spacing w:line="240" w:lineRule="auto"/>
    </w:pPr>
    <w:rPr>
      <w:lang w:eastAsia="fr-FR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-tte">
    <w:name w:val="header"/>
    <w:basedOn w:val="Normal"/>
    <w:link w:val="En-tteCar"/>
    <w:uiPriority w:val="99"/>
    <w:unhideWhenUsed w:val="1"/>
    <w:rsid w:val="00F729B8"/>
    <w:pPr>
      <w:tabs>
        <w:tab w:val="center" w:pos="4536"/>
        <w:tab w:val="right" w:pos="9072"/>
      </w:tabs>
      <w:spacing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F729B8"/>
  </w:style>
  <w:style w:type="paragraph" w:styleId="Pieddepage">
    <w:name w:val="footer"/>
    <w:basedOn w:val="Normal"/>
    <w:link w:val="PieddepageCar"/>
    <w:uiPriority w:val="99"/>
    <w:unhideWhenUsed w:val="1"/>
    <w:rsid w:val="00F729B8"/>
    <w:pPr>
      <w:tabs>
        <w:tab w:val="center" w:pos="4536"/>
        <w:tab w:val="right" w:pos="9072"/>
      </w:tabs>
      <w:spacing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F729B8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yperlink" Target="http://www.kross.studio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about:blank" TargetMode="External"/><Relationship Id="rId2" Type="http://schemas.openxmlformats.org/officeDocument/2006/relationships/hyperlink" Target="mailto:media@kross.studio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uziVpW6GDmdteSyl8FtulKKLrw==">AMUW2mU1y8Y38tQ2jvRdqzvGQBQumc3DSBNP0gOX7y9i793KRnGszOEC721LoIJNEbf0LiOfyPiK889lZGcH2NANQ/77NQCW40j4aROZ9qTf+9hjkVEMuGPsVPhclZPZ+zeBYhMDyyHG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2021-10-07T13:25:00Z</dcterms:created>
</cp:coreProperties>
</file>